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7E2" w:rsidRPr="00204038" w:rsidRDefault="005037E2" w:rsidP="005037E2">
      <w:pPr>
        <w:spacing w:after="0" w:line="240" w:lineRule="auto"/>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037E2" w:rsidRPr="00204038" w:rsidRDefault="005037E2" w:rsidP="005037E2">
      <w:pPr>
        <w:spacing w:after="120" w:line="240" w:lineRule="auto"/>
        <w:contextualSpacing/>
        <w:jc w:val="center"/>
        <w:rPr>
          <w:rFonts w:ascii="Times New Roman" w:hAnsi="Times New Roman"/>
          <w:sz w:val="24"/>
          <w:szCs w:val="24"/>
        </w:rPr>
      </w:pPr>
      <w:r w:rsidRPr="00204038">
        <w:rPr>
          <w:rFonts w:ascii="Times New Roman" w:hAnsi="Times New Roman"/>
          <w:sz w:val="24"/>
          <w:szCs w:val="24"/>
        </w:rPr>
        <w:t>(відповідно до пункту 4</w:t>
      </w:r>
      <w:r w:rsidRPr="00204038">
        <w:rPr>
          <w:rFonts w:ascii="Times New Roman" w:hAnsi="Times New Roman"/>
          <w:sz w:val="24"/>
          <w:szCs w:val="24"/>
          <w:vertAlign w:val="superscript"/>
        </w:rPr>
        <w:t xml:space="preserve">1 </w:t>
      </w:r>
      <w:r w:rsidRPr="00204038">
        <w:rPr>
          <w:rFonts w:ascii="Times New Roman" w:hAnsi="Times New Roman"/>
          <w:sz w:val="24"/>
          <w:szCs w:val="24"/>
        </w:rPr>
        <w:t>постанови КМУ від 11.10.2016 № 710 «Про ефективне 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5037E2" w:rsidRPr="0089282F" w:rsidTr="002C3240">
        <w:tc>
          <w:tcPr>
            <w:tcW w:w="421" w:type="dxa"/>
            <w:shd w:val="clear" w:color="auto" w:fill="auto"/>
          </w:tcPr>
          <w:p w:rsidR="005037E2" w:rsidRPr="0089282F" w:rsidRDefault="005037E2" w:rsidP="002C3240">
            <w:pPr>
              <w:rPr>
                <w:rFonts w:ascii="Times New Roman" w:hAnsi="Times New Roman"/>
                <w:sz w:val="24"/>
                <w:szCs w:val="24"/>
              </w:rPr>
            </w:pPr>
            <w:r w:rsidRPr="0089282F">
              <w:rPr>
                <w:rFonts w:ascii="Times New Roman" w:hAnsi="Times New Roman"/>
                <w:sz w:val="24"/>
                <w:szCs w:val="24"/>
              </w:rPr>
              <w:t>1</w:t>
            </w:r>
          </w:p>
        </w:tc>
        <w:tc>
          <w:tcPr>
            <w:tcW w:w="3210" w:type="dxa"/>
            <w:shd w:val="clear" w:color="auto" w:fill="auto"/>
          </w:tcPr>
          <w:p w:rsidR="005037E2" w:rsidRPr="0089282F" w:rsidRDefault="005037E2" w:rsidP="002C3240">
            <w:pPr>
              <w:rPr>
                <w:rFonts w:ascii="Times New Roman" w:hAnsi="Times New Roman"/>
                <w:b/>
                <w:sz w:val="24"/>
                <w:szCs w:val="24"/>
              </w:rPr>
            </w:pPr>
            <w:r w:rsidRPr="0089282F">
              <w:rPr>
                <w:rFonts w:ascii="Times New Roman" w:hAnsi="Times New Roman"/>
                <w:b/>
                <w:sz w:val="24"/>
                <w:szCs w:val="24"/>
              </w:rPr>
              <w:t>Назва предмета закупівлі</w:t>
            </w:r>
          </w:p>
        </w:tc>
        <w:tc>
          <w:tcPr>
            <w:tcW w:w="6145" w:type="dxa"/>
            <w:shd w:val="clear" w:color="auto" w:fill="auto"/>
          </w:tcPr>
          <w:p w:rsidR="005037E2" w:rsidRPr="00A02269" w:rsidRDefault="00A02269" w:rsidP="00A02269">
            <w:pPr>
              <w:shd w:val="clear" w:color="auto" w:fill="FFFFFF"/>
              <w:spacing w:after="120"/>
              <w:ind w:firstLine="170"/>
              <w:jc w:val="both"/>
              <w:rPr>
                <w:rFonts w:ascii="Times New Roman" w:eastAsia="Times New Roman" w:hAnsi="Times New Roman"/>
                <w:b/>
                <w:bCs/>
                <w:kern w:val="36"/>
                <w:sz w:val="24"/>
                <w:szCs w:val="24"/>
                <w:lang w:eastAsia="uk-UA"/>
              </w:rPr>
            </w:pPr>
            <w:r w:rsidRPr="00A02269">
              <w:rPr>
                <w:rFonts w:ascii="Times New Roman" w:eastAsia="Times New Roman" w:hAnsi="Times New Roman"/>
                <w:b/>
                <w:bCs/>
                <w:kern w:val="36"/>
                <w:sz w:val="24"/>
                <w:szCs w:val="24"/>
                <w:lang w:eastAsia="uk-UA"/>
              </w:rPr>
              <w:t>ДК 021:2015 (CPV): 71240000-2 Архітектурні, інженерні та планувальні послуги (Послуги з технічної інвентаризації об’єктів нерухомого майна та виготовлення технічних паспортів за результатами інвентаризації)</w:t>
            </w:r>
          </w:p>
        </w:tc>
      </w:tr>
      <w:tr w:rsidR="005037E2" w:rsidRPr="0089282F" w:rsidTr="002C3240">
        <w:tc>
          <w:tcPr>
            <w:tcW w:w="421" w:type="dxa"/>
            <w:shd w:val="clear" w:color="auto" w:fill="auto"/>
          </w:tcPr>
          <w:p w:rsidR="005037E2" w:rsidRPr="0089282F" w:rsidRDefault="005037E2" w:rsidP="002C3240">
            <w:pPr>
              <w:rPr>
                <w:rFonts w:ascii="Times New Roman" w:hAnsi="Times New Roman"/>
                <w:sz w:val="24"/>
                <w:szCs w:val="24"/>
              </w:rPr>
            </w:pPr>
            <w:r w:rsidRPr="0089282F">
              <w:rPr>
                <w:rFonts w:ascii="Times New Roman" w:hAnsi="Times New Roman"/>
                <w:sz w:val="24"/>
                <w:szCs w:val="24"/>
              </w:rPr>
              <w:t>2</w:t>
            </w:r>
          </w:p>
        </w:tc>
        <w:tc>
          <w:tcPr>
            <w:tcW w:w="3210" w:type="dxa"/>
            <w:shd w:val="clear" w:color="auto" w:fill="auto"/>
          </w:tcPr>
          <w:p w:rsidR="005037E2" w:rsidRPr="0089282F" w:rsidRDefault="005037E2" w:rsidP="002C3240">
            <w:pPr>
              <w:rPr>
                <w:rFonts w:ascii="Times New Roman" w:hAnsi="Times New Roman"/>
                <w:b/>
                <w:sz w:val="24"/>
                <w:szCs w:val="24"/>
              </w:rPr>
            </w:pPr>
            <w:r w:rsidRPr="0089282F">
              <w:rPr>
                <w:rFonts w:ascii="Times New Roman" w:hAnsi="Times New Roman"/>
                <w:b/>
                <w:sz w:val="24"/>
                <w:szCs w:val="24"/>
              </w:rPr>
              <w:t>Вид процедури</w:t>
            </w:r>
          </w:p>
        </w:tc>
        <w:tc>
          <w:tcPr>
            <w:tcW w:w="6145" w:type="dxa"/>
            <w:shd w:val="clear" w:color="auto" w:fill="auto"/>
          </w:tcPr>
          <w:p w:rsidR="005037E2" w:rsidRPr="00D6014A" w:rsidRDefault="005037E2" w:rsidP="002C3240">
            <w:pPr>
              <w:spacing w:after="0"/>
              <w:rPr>
                <w:rFonts w:ascii="Times New Roman" w:hAnsi="Times New Roman"/>
                <w:sz w:val="24"/>
                <w:szCs w:val="24"/>
              </w:rPr>
            </w:pPr>
            <w:r>
              <w:rPr>
                <w:rFonts w:ascii="Times New Roman" w:hAnsi="Times New Roman"/>
                <w:sz w:val="24"/>
                <w:szCs w:val="24"/>
              </w:rPr>
              <w:t>Спрощена закупівля</w:t>
            </w:r>
          </w:p>
          <w:p w:rsidR="005037E2" w:rsidRPr="00A93408" w:rsidRDefault="005037E2" w:rsidP="002C3240">
            <w:pPr>
              <w:spacing w:after="0" w:line="207" w:lineRule="atLeast"/>
              <w:rPr>
                <w:rFonts w:ascii="Times New Roman" w:eastAsia="Times New Roman" w:hAnsi="Times New Roman"/>
                <w:sz w:val="24"/>
                <w:szCs w:val="24"/>
                <w:lang w:eastAsia="uk-UA"/>
              </w:rPr>
            </w:pPr>
          </w:p>
        </w:tc>
      </w:tr>
      <w:tr w:rsidR="005037E2" w:rsidRPr="0089282F" w:rsidTr="002C3240">
        <w:tc>
          <w:tcPr>
            <w:tcW w:w="421" w:type="dxa"/>
            <w:shd w:val="clear" w:color="auto" w:fill="auto"/>
          </w:tcPr>
          <w:p w:rsidR="005037E2" w:rsidRPr="0089282F" w:rsidRDefault="005037E2" w:rsidP="002C3240">
            <w:pPr>
              <w:rPr>
                <w:rFonts w:ascii="Times New Roman" w:hAnsi="Times New Roman"/>
                <w:sz w:val="24"/>
                <w:szCs w:val="24"/>
              </w:rPr>
            </w:pPr>
            <w:r w:rsidRPr="0089282F">
              <w:rPr>
                <w:rFonts w:ascii="Times New Roman" w:hAnsi="Times New Roman"/>
                <w:sz w:val="24"/>
                <w:szCs w:val="24"/>
              </w:rPr>
              <w:t>3</w:t>
            </w:r>
          </w:p>
        </w:tc>
        <w:tc>
          <w:tcPr>
            <w:tcW w:w="3210" w:type="dxa"/>
            <w:shd w:val="clear" w:color="auto" w:fill="auto"/>
          </w:tcPr>
          <w:p w:rsidR="005037E2" w:rsidRPr="0089282F" w:rsidRDefault="005037E2" w:rsidP="002C3240">
            <w:pPr>
              <w:rPr>
                <w:rFonts w:ascii="Times New Roman" w:hAnsi="Times New Roman"/>
                <w:b/>
                <w:sz w:val="24"/>
                <w:szCs w:val="24"/>
              </w:rPr>
            </w:pPr>
            <w:r w:rsidRPr="0089282F">
              <w:rPr>
                <w:rFonts w:ascii="Times New Roman" w:hAnsi="Times New Roman"/>
                <w:b/>
                <w:sz w:val="24"/>
                <w:szCs w:val="24"/>
              </w:rPr>
              <w:t>Ідентифікатор закупівлі</w:t>
            </w:r>
          </w:p>
        </w:tc>
        <w:tc>
          <w:tcPr>
            <w:tcW w:w="6145" w:type="dxa"/>
            <w:shd w:val="clear" w:color="auto" w:fill="auto"/>
          </w:tcPr>
          <w:p w:rsidR="005037E2" w:rsidRPr="0009307F" w:rsidRDefault="00A02269" w:rsidP="002C3240">
            <w:pPr>
              <w:rPr>
                <w:rFonts w:ascii="Times New Roman" w:hAnsi="Times New Roman"/>
                <w:sz w:val="24"/>
                <w:szCs w:val="24"/>
              </w:rPr>
            </w:pPr>
            <w:r w:rsidRPr="00A02269">
              <w:rPr>
                <w:rFonts w:ascii="Times New Roman" w:hAnsi="Times New Roman"/>
                <w:b/>
                <w:bCs/>
                <w:sz w:val="24"/>
                <w:szCs w:val="24"/>
                <w:shd w:val="clear" w:color="auto" w:fill="FFFFFF"/>
              </w:rPr>
              <w:t>UA-2021-06-08-002448-c</w:t>
            </w:r>
          </w:p>
        </w:tc>
      </w:tr>
      <w:tr w:rsidR="005037E2" w:rsidRPr="0089282F" w:rsidTr="002C3240">
        <w:tc>
          <w:tcPr>
            <w:tcW w:w="421" w:type="dxa"/>
            <w:shd w:val="clear" w:color="auto" w:fill="auto"/>
          </w:tcPr>
          <w:p w:rsidR="005037E2" w:rsidRPr="0089282F" w:rsidRDefault="005037E2" w:rsidP="002C3240">
            <w:pPr>
              <w:rPr>
                <w:rFonts w:ascii="Times New Roman" w:hAnsi="Times New Roman"/>
                <w:sz w:val="24"/>
                <w:szCs w:val="24"/>
              </w:rPr>
            </w:pPr>
            <w:r w:rsidRPr="0089282F">
              <w:rPr>
                <w:rFonts w:ascii="Times New Roman" w:hAnsi="Times New Roman"/>
                <w:sz w:val="24"/>
                <w:szCs w:val="24"/>
              </w:rPr>
              <w:t>4</w:t>
            </w:r>
          </w:p>
        </w:tc>
        <w:tc>
          <w:tcPr>
            <w:tcW w:w="3210" w:type="dxa"/>
            <w:shd w:val="clear" w:color="auto" w:fill="auto"/>
          </w:tcPr>
          <w:p w:rsidR="005037E2" w:rsidRPr="0089282F" w:rsidRDefault="005037E2" w:rsidP="002C3240">
            <w:pPr>
              <w:rPr>
                <w:rFonts w:ascii="Times New Roman" w:hAnsi="Times New Roman"/>
                <w:b/>
                <w:sz w:val="24"/>
                <w:szCs w:val="24"/>
              </w:rPr>
            </w:pPr>
            <w:r w:rsidRPr="0089282F">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1.1. Послуги з технічної інвентаризації об'єктів нерухомого майна, надаються Учасником згідно вимог:</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 xml:space="preserve">Закону України «Про регулювання містобудівної діяльності», </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 xml:space="preserve">Наказу Державного комітету будівництва, архітектури та житлової політики України «Про затвердження Інструкції про порядок проведення технічної інвентаризації об'єктів нерухомого майна» від 24.05.2001 №127, </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 xml:space="preserve">Порядку прийняття в експлуатацію і проведення технічного обстеження індивідуальних (садибних) житлових будинків, садових, дачних будинків, господарських (присадибних) будівель і споруд, громадських будинків та будівель і споруд сільськогосподарського призначення I та II категорій складності, які збудовані без дозволу на виконання будівельних робіт, затвердженого Наказом Міністерства регіонального розвитку, будівництва та житлово-комунального господарства України від 24 квітня 2015 року № 79, </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 xml:space="preserve">Порядку прийняття в експлуатацію закінчених будівництвом об’єктів, затвердженого Постановою Кабінету Міністрів України від 13 квітня 2011 №461, </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інших вимог законодавства, чинного на момент надання послуг, інших вимог законодавства, чинного на момент надання послуг.</w:t>
            </w:r>
          </w:p>
          <w:p w:rsidR="00A02269" w:rsidRPr="00A02269" w:rsidRDefault="00A02269" w:rsidP="00A02269">
            <w:pPr>
              <w:spacing w:after="0" w:line="240" w:lineRule="auto"/>
              <w:ind w:firstLine="426"/>
              <w:jc w:val="both"/>
              <w:rPr>
                <w:rFonts w:ascii="Times New Roman" w:eastAsiaTheme="minorHAnsi" w:hAnsi="Times New Roman"/>
                <w:sz w:val="16"/>
                <w:szCs w:val="24"/>
              </w:rPr>
            </w:pP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1.2. Послуги з технічної інвентаризації об'єктів нерухомого майна складаються з наступного.</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1.2.1 Ознайомлення з наявною документацією на споруди та будівлі, визначення категорій складності об’єкта будівництва та визначення обсягу інженерних послуг, які необхідно надати.</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1.2.2. Технічна інвентаризація.</w:t>
            </w:r>
          </w:p>
          <w:p w:rsidR="00A02269" w:rsidRPr="00A02269" w:rsidRDefault="00A02269" w:rsidP="00A02269">
            <w:pPr>
              <w:tabs>
                <w:tab w:val="left" w:pos="993"/>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1.2.2.1. Технічна інвентаризація проводиться у відповідності до вимог чинного законодавства, основні етапи інвентаризації включають:</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вивчення документів, що стосуються інвентаризації;</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 xml:space="preserve">виконання обстеження, обмірів, складання </w:t>
            </w:r>
            <w:r w:rsidRPr="00A02269">
              <w:rPr>
                <w:rFonts w:ascii="Times New Roman" w:eastAsiaTheme="minorHAnsi" w:hAnsi="Times New Roman"/>
                <w:sz w:val="24"/>
                <w:szCs w:val="24"/>
              </w:rPr>
              <w:lastRenderedPageBreak/>
              <w:t>схематичних креслень земельних ділянок, будинків, допоміжних будівель, будівельних конструкцій та споруд (обов’язково з виїздом фахівця безпосередньо на об’єкти, які підлягають інвентаризації);</w:t>
            </w:r>
          </w:p>
          <w:p w:rsidR="00A02269" w:rsidRPr="00A02269" w:rsidRDefault="00A02269" w:rsidP="00A02269">
            <w:pPr>
              <w:tabs>
                <w:tab w:val="left" w:pos="1134"/>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1.2.3.2. За результатами проведеної інвентаризації із дотриманням вимог Інструкції про порядок проведення технічної інвентаризації об'єктів нерухомого майна, затвердженої Наказом Державного комітет будівництва, архітектури та житлової політики України від 24.05.2001 №127, Учасником складається технічний паспорт на об’єкт інвентаризації.</w:t>
            </w:r>
          </w:p>
          <w:p w:rsidR="00A02269" w:rsidRPr="00A02269" w:rsidRDefault="00A02269" w:rsidP="00A02269">
            <w:pPr>
              <w:tabs>
                <w:tab w:val="left" w:pos="567"/>
              </w:tabs>
              <w:spacing w:after="0" w:line="240" w:lineRule="auto"/>
              <w:ind w:firstLine="426"/>
              <w:jc w:val="both"/>
              <w:rPr>
                <w:rFonts w:ascii="Times New Roman" w:eastAsiaTheme="minorHAnsi" w:hAnsi="Times New Roman"/>
                <w:sz w:val="16"/>
                <w:szCs w:val="24"/>
              </w:rPr>
            </w:pPr>
          </w:p>
          <w:p w:rsidR="00A02269" w:rsidRPr="00A02269" w:rsidRDefault="00A02269" w:rsidP="00A02269">
            <w:pPr>
              <w:tabs>
                <w:tab w:val="left" w:pos="567"/>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 xml:space="preserve">1.3. Послуги Учасник надає за місцем знаходження будівель (споруд). </w:t>
            </w:r>
          </w:p>
          <w:p w:rsidR="00A02269" w:rsidRPr="00A02269" w:rsidRDefault="00A02269" w:rsidP="00A02269">
            <w:pPr>
              <w:tabs>
                <w:tab w:val="left" w:pos="567"/>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 xml:space="preserve">1.4. Всі інструменти та прилади, що застосовуються під час обстеження будівель і споруд, повинні бути повірені (калібровані, атестовані) у встановленому порядку. Застосування інструментів та приладів за наявності несправності або із закінченим терміном технічного обслуговування, перевірки працездатності (випробувань, огляду, повірки) або закінченням дії дозвільних документів, забороняється.  </w:t>
            </w:r>
          </w:p>
          <w:p w:rsidR="00A02269" w:rsidRPr="00A02269" w:rsidRDefault="00A02269" w:rsidP="00A02269">
            <w:pPr>
              <w:tabs>
                <w:tab w:val="left" w:pos="567"/>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 xml:space="preserve">1.5. Застосовані прилади та обладнання мають бути: </w:t>
            </w:r>
          </w:p>
          <w:p w:rsidR="00A02269" w:rsidRPr="00A02269" w:rsidRDefault="00A02269" w:rsidP="00A02269">
            <w:pPr>
              <w:tabs>
                <w:tab w:val="left" w:pos="709"/>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 xml:space="preserve">сертифіковані; </w:t>
            </w:r>
          </w:p>
          <w:p w:rsidR="00A02269" w:rsidRPr="00A02269" w:rsidRDefault="00A02269" w:rsidP="00A02269">
            <w:pPr>
              <w:tabs>
                <w:tab w:val="left" w:pos="709"/>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 xml:space="preserve">мати свідоцтво про повірку (атестації, калібрування). </w:t>
            </w:r>
          </w:p>
          <w:p w:rsidR="00A02269" w:rsidRPr="00A02269" w:rsidRDefault="00A02269" w:rsidP="00A02269">
            <w:pPr>
              <w:tabs>
                <w:tab w:val="left" w:pos="567"/>
              </w:tabs>
              <w:spacing w:after="0" w:line="240" w:lineRule="auto"/>
              <w:ind w:firstLine="426"/>
              <w:jc w:val="both"/>
              <w:rPr>
                <w:rFonts w:ascii="Times New Roman" w:eastAsiaTheme="minorHAnsi" w:hAnsi="Times New Roman"/>
                <w:spacing w:val="-4"/>
                <w:sz w:val="24"/>
                <w:szCs w:val="24"/>
              </w:rPr>
            </w:pPr>
            <w:r w:rsidRPr="00A02269">
              <w:rPr>
                <w:rFonts w:ascii="Times New Roman" w:eastAsiaTheme="minorHAnsi" w:hAnsi="Times New Roman"/>
                <w:spacing w:val="-4"/>
                <w:sz w:val="24"/>
                <w:szCs w:val="24"/>
              </w:rPr>
              <w:t>1.6. Вартість послуг повинна включати усі податки, витрати на відрядження, обов’язкові збори і платежі, а також вартість підготовчих робіт, придбання обладнання та матеріалів, необхідних для виконання умов договору про закупівлю, інших витрат Учасника пов’язаних із наданням послуг. Учасник в складі тендерної пропозиції повинен надати розрахунок ціни тендерної пропозиції: калькуляцію або кошторис вартості послуг з розроблення технічної документації. Калькуляція вартості послуг з розроблення технічної документації надається згідно з наказом Державного комітету України з питань житлово-комунального господарства від 21.11.2003 року № 198 «Про затвердження Збірника норм часу на роботи, що виконуються суб’єктами господарювання, які здійснюють технічну інвентаризацію об’єктів нерухомого майна», зареєстрованим в Міністерстві юстиції України 12.02.2004 року за № 188/8787, (із змінами).</w:t>
            </w:r>
          </w:p>
          <w:p w:rsidR="00A02269" w:rsidRPr="00A02269" w:rsidRDefault="00A02269" w:rsidP="00A02269">
            <w:pPr>
              <w:tabs>
                <w:tab w:val="left" w:pos="567"/>
              </w:tabs>
              <w:spacing w:after="0" w:line="240" w:lineRule="auto"/>
              <w:ind w:firstLine="426"/>
              <w:jc w:val="both"/>
              <w:rPr>
                <w:rFonts w:ascii="Times New Roman" w:eastAsiaTheme="minorHAnsi" w:hAnsi="Times New Roman"/>
                <w:sz w:val="16"/>
                <w:szCs w:val="24"/>
              </w:rPr>
            </w:pPr>
            <w:r w:rsidRPr="00A02269">
              <w:rPr>
                <w:rFonts w:ascii="Times New Roman" w:eastAsiaTheme="minorHAnsi" w:hAnsi="Times New Roman"/>
                <w:sz w:val="24"/>
                <w:szCs w:val="24"/>
              </w:rPr>
              <w:t xml:space="preserve">1.7. Учасник несе відповідальність за виконання вимог охорони праці, техніки безпеки, дорожнього руху транспортних засобів та пожежної безпеки на об’єктах та на території Замовника під час надання послуг, про що надає лист-гарантію. Виконавець робіт  повинен мати посвідчення про проходження курсу відповідного навчання Згідно НПАОП 0.00-1.15-07 «Правила охорони праці підчас виконання робіт на висоті» та Закону України «Про охорону праці» (надати копії в складі пропозиції учасника) </w:t>
            </w:r>
          </w:p>
          <w:p w:rsidR="00A02269" w:rsidRPr="00A02269" w:rsidRDefault="00A02269" w:rsidP="00A02269">
            <w:pPr>
              <w:tabs>
                <w:tab w:val="left" w:pos="567"/>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 Перелік об’єктів нерухомого майна, що підлягають технічній інвентаризації:</w:t>
            </w:r>
          </w:p>
          <w:p w:rsidR="00A02269" w:rsidRPr="00A02269" w:rsidRDefault="00A02269" w:rsidP="00A02269">
            <w:pPr>
              <w:tabs>
                <w:tab w:val="left" w:pos="567"/>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lastRenderedPageBreak/>
              <w:t>2.1. Послуги надаються за місцем розташування наступних об’єктів: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4"/>
              <w:gridCol w:w="2029"/>
              <w:gridCol w:w="1995"/>
              <w:gridCol w:w="1381"/>
            </w:tblGrid>
            <w:tr w:rsidR="00A02269" w:rsidRPr="00A02269" w:rsidTr="00BA60E3">
              <w:trPr>
                <w:trHeight w:val="515"/>
              </w:trPr>
              <w:tc>
                <w:tcPr>
                  <w:tcW w:w="374"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right="8" w:firstLine="5"/>
                    <w:jc w:val="center"/>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 з/п</w:t>
                  </w:r>
                </w:p>
              </w:tc>
              <w:tc>
                <w:tcPr>
                  <w:tcW w:w="1954"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firstLine="426"/>
                    <w:jc w:val="center"/>
                    <w:rPr>
                      <w:rFonts w:ascii="Times New Roman" w:eastAsiaTheme="minorHAnsi" w:hAnsi="Times New Roman"/>
                      <w:sz w:val="24"/>
                      <w:szCs w:val="24"/>
                      <w:lang w:val="ru-RU"/>
                    </w:rPr>
                  </w:pPr>
                  <w:proofErr w:type="spellStart"/>
                  <w:r w:rsidRPr="00A02269">
                    <w:rPr>
                      <w:rFonts w:ascii="Times New Roman" w:eastAsiaTheme="minorHAnsi" w:hAnsi="Times New Roman"/>
                      <w:sz w:val="24"/>
                      <w:szCs w:val="24"/>
                      <w:lang w:val="ru-RU"/>
                    </w:rPr>
                    <w:t>Найменування</w:t>
                  </w:r>
                  <w:proofErr w:type="spellEnd"/>
                  <w:r w:rsidRPr="00A02269">
                    <w:rPr>
                      <w:rFonts w:ascii="Times New Roman" w:eastAsiaTheme="minorHAnsi" w:hAnsi="Times New Roman"/>
                      <w:sz w:val="24"/>
                      <w:szCs w:val="24"/>
                      <w:lang w:val="ru-RU"/>
                    </w:rPr>
                    <w:t xml:space="preserve"> </w:t>
                  </w:r>
                  <w:proofErr w:type="spellStart"/>
                  <w:proofErr w:type="gramStart"/>
                  <w:r w:rsidRPr="00A02269">
                    <w:rPr>
                      <w:rFonts w:ascii="Times New Roman" w:eastAsiaTheme="minorHAnsi" w:hAnsi="Times New Roman"/>
                      <w:sz w:val="24"/>
                      <w:szCs w:val="24"/>
                      <w:lang w:val="ru-RU"/>
                    </w:rPr>
                    <w:t>п</w:t>
                  </w:r>
                  <w:proofErr w:type="gramEnd"/>
                  <w:r w:rsidRPr="00A02269">
                    <w:rPr>
                      <w:rFonts w:ascii="Times New Roman" w:eastAsiaTheme="minorHAnsi" w:hAnsi="Times New Roman"/>
                      <w:sz w:val="24"/>
                      <w:szCs w:val="24"/>
                      <w:lang w:val="ru-RU"/>
                    </w:rPr>
                    <w:t>ідрозділу</w:t>
                  </w:r>
                  <w:proofErr w:type="spellEnd"/>
                  <w:r w:rsidRPr="00A02269">
                    <w:rPr>
                      <w:rFonts w:ascii="Times New Roman" w:eastAsiaTheme="minorHAnsi" w:hAnsi="Times New Roman"/>
                      <w:sz w:val="24"/>
                      <w:szCs w:val="24"/>
                      <w:lang w:val="ru-RU"/>
                    </w:rPr>
                    <w:t>,</w:t>
                  </w:r>
                </w:p>
                <w:p w:rsidR="00A02269" w:rsidRPr="00A02269" w:rsidRDefault="00A02269" w:rsidP="00A02269">
                  <w:pPr>
                    <w:widowControl w:val="0"/>
                    <w:autoSpaceDE w:val="0"/>
                    <w:autoSpaceDN w:val="0"/>
                    <w:spacing w:after="0" w:line="240" w:lineRule="auto"/>
                    <w:jc w:val="center"/>
                    <w:rPr>
                      <w:rFonts w:ascii="Times New Roman" w:eastAsiaTheme="minorHAnsi" w:hAnsi="Times New Roman"/>
                      <w:sz w:val="24"/>
                      <w:szCs w:val="24"/>
                      <w:lang w:val="ru-RU"/>
                    </w:rPr>
                  </w:pPr>
                  <w:r w:rsidRPr="00A02269">
                    <w:rPr>
                      <w:rFonts w:ascii="Times New Roman" w:eastAsiaTheme="minorHAnsi" w:hAnsi="Times New Roman"/>
                      <w:sz w:val="24"/>
                      <w:szCs w:val="24"/>
                      <w:lang w:val="ru-RU"/>
                    </w:rPr>
                    <w:t xml:space="preserve">в </w:t>
                  </w:r>
                  <w:proofErr w:type="spellStart"/>
                  <w:r w:rsidRPr="00A02269">
                    <w:rPr>
                      <w:rFonts w:ascii="Times New Roman" w:eastAsiaTheme="minorHAnsi" w:hAnsi="Times New Roman"/>
                      <w:sz w:val="24"/>
                      <w:szCs w:val="24"/>
                      <w:lang w:val="ru-RU"/>
                    </w:rPr>
                    <w:t>якому</w:t>
                  </w:r>
                  <w:proofErr w:type="spellEnd"/>
                  <w:r w:rsidRPr="00A02269">
                    <w:rPr>
                      <w:rFonts w:ascii="Times New Roman" w:eastAsiaTheme="minorHAnsi" w:hAnsi="Times New Roman"/>
                      <w:sz w:val="24"/>
                      <w:szCs w:val="24"/>
                      <w:lang w:val="ru-RU"/>
                    </w:rPr>
                    <w:t xml:space="preserve"> </w:t>
                  </w:r>
                  <w:proofErr w:type="spellStart"/>
                  <w:r w:rsidRPr="00A02269">
                    <w:rPr>
                      <w:rFonts w:ascii="Times New Roman" w:eastAsiaTheme="minorHAnsi" w:hAnsi="Times New Roman"/>
                      <w:sz w:val="24"/>
                      <w:szCs w:val="24"/>
                      <w:lang w:val="ru-RU"/>
                    </w:rPr>
                    <w:t>надаються</w:t>
                  </w:r>
                  <w:proofErr w:type="spellEnd"/>
                  <w:r w:rsidRPr="00A02269">
                    <w:rPr>
                      <w:rFonts w:ascii="Times New Roman" w:eastAsiaTheme="minorHAnsi" w:hAnsi="Times New Roman"/>
                      <w:sz w:val="24"/>
                      <w:szCs w:val="24"/>
                      <w:lang w:val="ru-RU"/>
                    </w:rPr>
                    <w:t xml:space="preserve"> </w:t>
                  </w:r>
                  <w:proofErr w:type="spellStart"/>
                  <w:r w:rsidRPr="00A02269">
                    <w:rPr>
                      <w:rFonts w:ascii="Times New Roman" w:eastAsiaTheme="minorHAnsi" w:hAnsi="Times New Roman"/>
                      <w:sz w:val="24"/>
                      <w:szCs w:val="24"/>
                      <w:lang w:val="ru-RU"/>
                    </w:rPr>
                    <w:t>послуги</w:t>
                  </w:r>
                  <w:proofErr w:type="spellEnd"/>
                </w:p>
              </w:tc>
              <w:tc>
                <w:tcPr>
                  <w:tcW w:w="1925"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firstLine="426"/>
                    <w:jc w:val="center"/>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Адреса</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об’єкту</w:t>
                  </w:r>
                  <w:proofErr w:type="spellEnd"/>
                </w:p>
                <w:p w:rsidR="00A02269" w:rsidRPr="00A02269" w:rsidRDefault="00A02269" w:rsidP="00A02269">
                  <w:pPr>
                    <w:widowControl w:val="0"/>
                    <w:autoSpaceDE w:val="0"/>
                    <w:autoSpaceDN w:val="0"/>
                    <w:spacing w:after="0" w:line="240" w:lineRule="auto"/>
                    <w:jc w:val="center"/>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нерухомого</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майна</w:t>
                  </w:r>
                  <w:proofErr w:type="spellEnd"/>
                </w:p>
              </w:tc>
              <w:tc>
                <w:tcPr>
                  <w:tcW w:w="747"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Орієнтовна</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площа</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кв.м</w:t>
                  </w:r>
                  <w:proofErr w:type="spellEnd"/>
                </w:p>
              </w:tc>
            </w:tr>
            <w:tr w:rsidR="00A02269" w:rsidRPr="00A02269" w:rsidTr="00BA60E3">
              <w:trPr>
                <w:trHeight w:val="128"/>
              </w:trPr>
              <w:tc>
                <w:tcPr>
                  <w:tcW w:w="374"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firstLine="5"/>
                    <w:jc w:val="center"/>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rPr>
                  </w:pPr>
                  <w:proofErr w:type="spellStart"/>
                  <w:r w:rsidRPr="00A02269">
                    <w:rPr>
                      <w:rFonts w:ascii="Times New Roman" w:eastAsiaTheme="minorHAnsi" w:hAnsi="Times New Roman"/>
                      <w:sz w:val="24"/>
                      <w:szCs w:val="24"/>
                      <w:lang w:val="en-US"/>
                    </w:rPr>
                    <w:t>Гуртожиток</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та</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їдальня</w:t>
                  </w:r>
                  <w:proofErr w:type="spellEnd"/>
                  <w:r w:rsidRPr="00A02269">
                    <w:rPr>
                      <w:rFonts w:ascii="Times New Roman" w:eastAsiaTheme="minorHAnsi" w:hAnsi="Times New Roman"/>
                      <w:sz w:val="24"/>
                      <w:szCs w:val="24"/>
                      <w:lang w:val="en-US"/>
                    </w:rPr>
                    <w:t xml:space="preserve"> </w:t>
                  </w:r>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rPr>
                      <w:rFonts w:ascii="Times New Roman" w:eastAsiaTheme="minorHAnsi" w:hAnsi="Times New Roman"/>
                      <w:sz w:val="24"/>
                      <w:szCs w:val="24"/>
                      <w:lang w:val="en-US"/>
                    </w:rPr>
                  </w:pPr>
                  <w:proofErr w:type="spellStart"/>
                  <w:proofErr w:type="gramStart"/>
                  <w:r w:rsidRPr="00A02269">
                    <w:rPr>
                      <w:rFonts w:ascii="Times New Roman" w:eastAsiaTheme="minorHAnsi" w:hAnsi="Times New Roman"/>
                      <w:sz w:val="24"/>
                      <w:szCs w:val="24"/>
                      <w:lang w:val="en-US"/>
                    </w:rPr>
                    <w:t>смт</w:t>
                  </w:r>
                  <w:proofErr w:type="spellEnd"/>
                  <w:proofErr w:type="gram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Підбуж</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вул</w:t>
                  </w:r>
                  <w:proofErr w:type="spellEnd"/>
                  <w:r w:rsidRPr="00A02269">
                    <w:rPr>
                      <w:rFonts w:ascii="Times New Roman" w:eastAsiaTheme="minorHAnsi" w:hAnsi="Times New Roman"/>
                      <w:sz w:val="24"/>
                      <w:szCs w:val="24"/>
                      <w:lang w:val="en-US"/>
                    </w:rPr>
                    <w:t>. Галицька,106</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793</w:t>
                  </w:r>
                </w:p>
              </w:tc>
            </w:tr>
            <w:tr w:rsidR="00A02269" w:rsidRPr="00A02269" w:rsidTr="00BA60E3">
              <w:trPr>
                <w:trHeight w:val="138"/>
              </w:trPr>
              <w:tc>
                <w:tcPr>
                  <w:tcW w:w="374"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firstLine="5"/>
                    <w:jc w:val="center"/>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2.</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Підстанція</w:t>
                  </w:r>
                  <w:proofErr w:type="spellEnd"/>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rPr>
                      <w:rFonts w:ascii="Times New Roman" w:eastAsiaTheme="minorHAnsi" w:hAnsi="Times New Roman"/>
                      <w:sz w:val="24"/>
                      <w:szCs w:val="24"/>
                      <w:lang w:val="en-US"/>
                    </w:rPr>
                  </w:pPr>
                  <w:proofErr w:type="spellStart"/>
                  <w:proofErr w:type="gramStart"/>
                  <w:r w:rsidRPr="00A02269">
                    <w:rPr>
                      <w:rFonts w:ascii="Times New Roman" w:eastAsiaTheme="minorHAnsi" w:hAnsi="Times New Roman"/>
                      <w:sz w:val="24"/>
                      <w:szCs w:val="24"/>
                      <w:lang w:val="en-US"/>
                    </w:rPr>
                    <w:t>смт</w:t>
                  </w:r>
                  <w:proofErr w:type="spellEnd"/>
                  <w:proofErr w:type="gram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Підбуж</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вул</w:t>
                  </w:r>
                  <w:proofErr w:type="spellEnd"/>
                  <w:r w:rsidRPr="00A02269">
                    <w:rPr>
                      <w:rFonts w:ascii="Times New Roman" w:eastAsiaTheme="minorHAnsi" w:hAnsi="Times New Roman"/>
                      <w:sz w:val="24"/>
                      <w:szCs w:val="24"/>
                      <w:lang w:val="en-US"/>
                    </w:rPr>
                    <w:t>. Галицька,106</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48</w:t>
                  </w:r>
                </w:p>
              </w:tc>
            </w:tr>
            <w:tr w:rsidR="00A02269" w:rsidRPr="00A02269" w:rsidTr="00BA60E3">
              <w:trPr>
                <w:trHeight w:val="138"/>
              </w:trPr>
              <w:tc>
                <w:tcPr>
                  <w:tcW w:w="374"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firstLine="5"/>
                    <w:jc w:val="center"/>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3.</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Гараж</w:t>
                  </w:r>
                  <w:proofErr w:type="spellEnd"/>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rPr>
                      <w:rFonts w:ascii="Times New Roman" w:eastAsiaTheme="minorHAnsi" w:hAnsi="Times New Roman"/>
                      <w:sz w:val="24"/>
                      <w:szCs w:val="24"/>
                      <w:lang w:val="en-US"/>
                    </w:rPr>
                  </w:pPr>
                  <w:proofErr w:type="spellStart"/>
                  <w:proofErr w:type="gramStart"/>
                  <w:r w:rsidRPr="00A02269">
                    <w:rPr>
                      <w:rFonts w:ascii="Times New Roman" w:eastAsiaTheme="minorHAnsi" w:hAnsi="Times New Roman"/>
                      <w:sz w:val="24"/>
                      <w:szCs w:val="24"/>
                      <w:lang w:val="en-US"/>
                    </w:rPr>
                    <w:t>смт</w:t>
                  </w:r>
                  <w:proofErr w:type="spellEnd"/>
                  <w:proofErr w:type="gram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Підбуж</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вул</w:t>
                  </w:r>
                  <w:proofErr w:type="spellEnd"/>
                  <w:r w:rsidRPr="00A02269">
                    <w:rPr>
                      <w:rFonts w:ascii="Times New Roman" w:eastAsiaTheme="minorHAnsi" w:hAnsi="Times New Roman"/>
                      <w:sz w:val="24"/>
                      <w:szCs w:val="24"/>
                      <w:lang w:val="en-US"/>
                    </w:rPr>
                    <w:t>. Галицька,106</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248</w:t>
                  </w:r>
                </w:p>
              </w:tc>
            </w:tr>
            <w:tr w:rsidR="00A02269" w:rsidRPr="00A02269" w:rsidTr="00BA60E3">
              <w:trPr>
                <w:trHeight w:val="138"/>
              </w:trPr>
              <w:tc>
                <w:tcPr>
                  <w:tcW w:w="374"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firstLine="5"/>
                    <w:jc w:val="center"/>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4.</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Котельня</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металева</w:t>
                  </w:r>
                  <w:proofErr w:type="spellEnd"/>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м.Дрогобич</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вул</w:t>
                  </w:r>
                  <w:proofErr w:type="spellEnd"/>
                  <w:r w:rsidRPr="00A02269">
                    <w:rPr>
                      <w:rFonts w:ascii="Times New Roman" w:eastAsiaTheme="minorHAnsi" w:hAnsi="Times New Roman"/>
                      <w:sz w:val="24"/>
                      <w:szCs w:val="24"/>
                      <w:lang w:val="en-US"/>
                    </w:rPr>
                    <w:t>. Л.Курбаса,2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15</w:t>
                  </w:r>
                </w:p>
              </w:tc>
            </w:tr>
            <w:tr w:rsidR="00A02269" w:rsidRPr="00A02269" w:rsidTr="00BA60E3">
              <w:trPr>
                <w:trHeight w:val="138"/>
              </w:trPr>
              <w:tc>
                <w:tcPr>
                  <w:tcW w:w="374"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firstLine="5"/>
                    <w:jc w:val="center"/>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5.</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Склад</w:t>
                  </w:r>
                  <w:proofErr w:type="spellEnd"/>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rPr>
                      <w:rFonts w:ascii="Times New Roman" w:eastAsiaTheme="minorHAnsi" w:hAnsi="Times New Roman"/>
                      <w:sz w:val="24"/>
                      <w:szCs w:val="24"/>
                      <w:lang w:val="ru-RU"/>
                    </w:rPr>
                  </w:pPr>
                  <w:r w:rsidRPr="00A02269">
                    <w:rPr>
                      <w:rFonts w:ascii="Times New Roman" w:eastAsiaTheme="minorHAnsi" w:hAnsi="Times New Roman"/>
                      <w:sz w:val="24"/>
                      <w:szCs w:val="24"/>
                      <w:lang w:val="ru-RU"/>
                    </w:rPr>
                    <w:t xml:space="preserve">м. </w:t>
                  </w:r>
                  <w:proofErr w:type="spellStart"/>
                  <w:r w:rsidRPr="00A02269">
                    <w:rPr>
                      <w:rFonts w:ascii="Times New Roman" w:eastAsiaTheme="minorHAnsi" w:hAnsi="Times New Roman"/>
                      <w:sz w:val="24"/>
                      <w:szCs w:val="24"/>
                      <w:lang w:val="ru-RU"/>
                    </w:rPr>
                    <w:t>Дрогобич</w:t>
                  </w:r>
                  <w:proofErr w:type="spellEnd"/>
                  <w:r w:rsidRPr="00A02269">
                    <w:rPr>
                      <w:rFonts w:ascii="Times New Roman" w:eastAsiaTheme="minorHAnsi" w:hAnsi="Times New Roman"/>
                      <w:sz w:val="24"/>
                      <w:szCs w:val="24"/>
                      <w:lang w:val="ru-RU"/>
                    </w:rPr>
                    <w:t xml:space="preserve">, </w:t>
                  </w:r>
                  <w:proofErr w:type="spellStart"/>
                  <w:r w:rsidRPr="00A02269">
                    <w:rPr>
                      <w:rFonts w:ascii="Times New Roman" w:eastAsiaTheme="minorHAnsi" w:hAnsi="Times New Roman"/>
                      <w:sz w:val="24"/>
                      <w:szCs w:val="24"/>
                      <w:lang w:val="ru-RU"/>
                    </w:rPr>
                    <w:t>вул</w:t>
                  </w:r>
                  <w:proofErr w:type="spellEnd"/>
                  <w:proofErr w:type="gramStart"/>
                  <w:r w:rsidRPr="00A02269">
                    <w:rPr>
                      <w:rFonts w:ascii="Times New Roman" w:eastAsiaTheme="minorHAnsi" w:hAnsi="Times New Roman"/>
                      <w:sz w:val="24"/>
                      <w:szCs w:val="24"/>
                      <w:lang w:val="ru-RU"/>
                    </w:rPr>
                    <w:t xml:space="preserve">. </w:t>
                  </w:r>
                  <w:proofErr w:type="spellStart"/>
                  <w:r w:rsidRPr="00A02269">
                    <w:rPr>
                      <w:rFonts w:ascii="Times New Roman" w:eastAsiaTheme="minorHAnsi" w:hAnsi="Times New Roman"/>
                      <w:sz w:val="24"/>
                      <w:szCs w:val="24"/>
                      <w:lang w:val="ru-RU"/>
                    </w:rPr>
                    <w:t>І.</w:t>
                  </w:r>
                  <w:proofErr w:type="gramEnd"/>
                  <w:r w:rsidRPr="00A02269">
                    <w:rPr>
                      <w:rFonts w:ascii="Times New Roman" w:eastAsiaTheme="minorHAnsi" w:hAnsi="Times New Roman"/>
                      <w:sz w:val="24"/>
                      <w:szCs w:val="24"/>
                      <w:lang w:val="ru-RU"/>
                    </w:rPr>
                    <w:t>Франка</w:t>
                  </w:r>
                  <w:proofErr w:type="spellEnd"/>
                  <w:r w:rsidRPr="00A02269">
                    <w:rPr>
                      <w:rFonts w:ascii="Times New Roman" w:eastAsiaTheme="minorHAnsi" w:hAnsi="Times New Roman"/>
                      <w:sz w:val="24"/>
                      <w:szCs w:val="24"/>
                      <w:lang w:val="ru-RU"/>
                    </w:rPr>
                    <w:t>, 29</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48</w:t>
                  </w:r>
                </w:p>
              </w:tc>
            </w:tr>
            <w:tr w:rsidR="00A02269" w:rsidRPr="00A02269" w:rsidTr="00BA60E3">
              <w:trPr>
                <w:trHeight w:val="138"/>
              </w:trPr>
              <w:tc>
                <w:tcPr>
                  <w:tcW w:w="374" w:type="pct"/>
                  <w:tcBorders>
                    <w:top w:val="single" w:sz="4" w:space="0" w:color="000000"/>
                    <w:left w:val="single" w:sz="4" w:space="0" w:color="000000"/>
                    <w:bottom w:val="single" w:sz="4" w:space="0" w:color="000000"/>
                    <w:right w:val="single" w:sz="4" w:space="0" w:color="000000"/>
                  </w:tcBorders>
                  <w:vAlign w:val="center"/>
                </w:tcPr>
                <w:p w:rsidR="00A02269" w:rsidRPr="00A02269" w:rsidRDefault="00A02269" w:rsidP="00A02269">
                  <w:pPr>
                    <w:widowControl w:val="0"/>
                    <w:autoSpaceDE w:val="0"/>
                    <w:autoSpaceDN w:val="0"/>
                    <w:spacing w:after="0" w:line="240" w:lineRule="auto"/>
                    <w:ind w:firstLine="5"/>
                    <w:jc w:val="center"/>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6.</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Спортмайданчик</w:t>
                  </w:r>
                  <w:proofErr w:type="spellEnd"/>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rPr>
                      <w:rFonts w:ascii="Times New Roman" w:eastAsiaTheme="minorHAnsi" w:hAnsi="Times New Roman"/>
                      <w:sz w:val="24"/>
                      <w:szCs w:val="24"/>
                      <w:lang w:val="en-US"/>
                    </w:rPr>
                  </w:pPr>
                  <w:proofErr w:type="spellStart"/>
                  <w:r w:rsidRPr="00A02269">
                    <w:rPr>
                      <w:rFonts w:ascii="Times New Roman" w:eastAsiaTheme="minorHAnsi" w:hAnsi="Times New Roman"/>
                      <w:sz w:val="24"/>
                      <w:szCs w:val="24"/>
                      <w:lang w:val="en-US"/>
                    </w:rPr>
                    <w:t>м.Дрогобич</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вул</w:t>
                  </w:r>
                  <w:proofErr w:type="spellEnd"/>
                  <w:r w:rsidRPr="00A02269">
                    <w:rPr>
                      <w:rFonts w:ascii="Times New Roman" w:eastAsiaTheme="minorHAnsi" w:hAnsi="Times New Roman"/>
                      <w:sz w:val="24"/>
                      <w:szCs w:val="24"/>
                      <w:lang w:val="en-US"/>
                    </w:rPr>
                    <w:t xml:space="preserve">. </w:t>
                  </w:r>
                  <w:proofErr w:type="spellStart"/>
                  <w:r w:rsidRPr="00A02269">
                    <w:rPr>
                      <w:rFonts w:ascii="Times New Roman" w:eastAsiaTheme="minorHAnsi" w:hAnsi="Times New Roman"/>
                      <w:sz w:val="24"/>
                      <w:szCs w:val="24"/>
                      <w:lang w:val="en-US"/>
                    </w:rPr>
                    <w:t>Л.Українки</w:t>
                  </w:r>
                  <w:proofErr w:type="spellEnd"/>
                  <w:r w:rsidRPr="00A02269">
                    <w:rPr>
                      <w:rFonts w:ascii="Times New Roman" w:eastAsiaTheme="minorHAnsi" w:hAnsi="Times New Roman"/>
                      <w:sz w:val="24"/>
                      <w:szCs w:val="24"/>
                      <w:lang w:val="en-US"/>
                    </w:rPr>
                    <w:t>, 46</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269" w:rsidRPr="00A02269" w:rsidRDefault="00A02269" w:rsidP="00A02269">
                  <w:pPr>
                    <w:widowControl w:val="0"/>
                    <w:autoSpaceDE w:val="0"/>
                    <w:autoSpaceDN w:val="0"/>
                    <w:spacing w:after="0" w:line="240" w:lineRule="auto"/>
                    <w:ind w:firstLine="426"/>
                    <w:rPr>
                      <w:rFonts w:ascii="Times New Roman" w:eastAsiaTheme="minorHAnsi" w:hAnsi="Times New Roman"/>
                      <w:sz w:val="24"/>
                      <w:szCs w:val="24"/>
                      <w:lang w:val="en-US"/>
                    </w:rPr>
                  </w:pPr>
                  <w:r w:rsidRPr="00A02269">
                    <w:rPr>
                      <w:rFonts w:ascii="Times New Roman" w:eastAsiaTheme="minorHAnsi" w:hAnsi="Times New Roman"/>
                      <w:sz w:val="24"/>
                      <w:szCs w:val="24"/>
                      <w:lang w:val="en-US"/>
                    </w:rPr>
                    <w:t>1008</w:t>
                  </w:r>
                </w:p>
              </w:tc>
            </w:tr>
          </w:tbl>
          <w:p w:rsidR="00A02269" w:rsidRPr="00A02269" w:rsidRDefault="00A02269" w:rsidP="00A02269">
            <w:pPr>
              <w:spacing w:after="0" w:line="240" w:lineRule="auto"/>
              <w:ind w:firstLine="426"/>
              <w:jc w:val="both"/>
              <w:rPr>
                <w:rFonts w:ascii="Times New Roman" w:eastAsiaTheme="minorHAnsi" w:hAnsi="Times New Roman"/>
                <w:spacing w:val="-4"/>
                <w:sz w:val="24"/>
                <w:szCs w:val="24"/>
              </w:rPr>
            </w:pPr>
            <w:r w:rsidRPr="00A02269">
              <w:rPr>
                <w:rFonts w:ascii="Times New Roman" w:eastAsiaTheme="minorHAnsi" w:hAnsi="Times New Roman"/>
                <w:spacing w:val="-4"/>
                <w:sz w:val="24"/>
                <w:szCs w:val="24"/>
              </w:rPr>
              <w:t xml:space="preserve">2.2. Під час інвентаризації повинні бути обстежені основні конструктивні елементи будинків: фундаменти, стіни, перегородки, </w:t>
            </w:r>
            <w:proofErr w:type="spellStart"/>
            <w:r w:rsidRPr="00A02269">
              <w:rPr>
                <w:rFonts w:ascii="Times New Roman" w:eastAsiaTheme="minorHAnsi" w:hAnsi="Times New Roman"/>
                <w:spacing w:val="-4"/>
                <w:sz w:val="24"/>
                <w:szCs w:val="24"/>
              </w:rPr>
              <w:t>надпідвальні</w:t>
            </w:r>
            <w:proofErr w:type="spellEnd"/>
            <w:r w:rsidRPr="00A02269">
              <w:rPr>
                <w:rFonts w:ascii="Times New Roman" w:eastAsiaTheme="minorHAnsi" w:hAnsi="Times New Roman"/>
                <w:spacing w:val="-4"/>
                <w:sz w:val="24"/>
                <w:szCs w:val="24"/>
              </w:rPr>
              <w:t>, міжповерхові та горищні перекриття, підлога, вікна, двері, покрівля; внутрішнє  і зовнішнє опорядження; системи опалення та вентиляції водопровідно-каналізаційне обладнання, газове і електрообладнання, ліфти, сміттєпроводи, тощо.</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 Обов’язкові умови до технічних паспортів:</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2.3.1. Виготовлена технічна документація має відповідати фактичним розмірам наявних будівель та споруд.</w:t>
            </w:r>
          </w:p>
          <w:p w:rsidR="00A02269" w:rsidRPr="00A02269" w:rsidRDefault="00A02269" w:rsidP="00A02269">
            <w:pPr>
              <w:spacing w:after="0" w:line="240" w:lineRule="auto"/>
              <w:ind w:firstLine="426"/>
              <w:jc w:val="both"/>
              <w:rPr>
                <w:rFonts w:ascii="Times New Roman" w:eastAsiaTheme="minorHAnsi" w:hAnsi="Times New Roman"/>
                <w:spacing w:val="-4"/>
                <w:sz w:val="24"/>
                <w:szCs w:val="24"/>
              </w:rPr>
            </w:pPr>
            <w:r w:rsidRPr="00A02269">
              <w:rPr>
                <w:rFonts w:ascii="Times New Roman" w:eastAsiaTheme="minorHAnsi" w:hAnsi="Times New Roman"/>
                <w:spacing w:val="-4"/>
                <w:sz w:val="24"/>
                <w:szCs w:val="24"/>
              </w:rPr>
              <w:t>2.3.2. В технічному паспорті зазначається найменування будівлі (споруди) та номер відповідно генерального плану та адреса розташування будівлі (споруди) відповідно адреси міста.</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2.3.3. Плани складаються (в тому числі з використанням ЕОТ) на щільному папері стандартом 420 х 297 або 210 х 297 в масштабі 1:100 або 1:200. На планах будівель (споруд) не залежно від масштабу зображуються обладнання приміщень (санітарно-технічні і електротехнічні прилади тощо).</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2.3.4. В технічному паспорті обов’язково вказуються характеристики будівель (споруд):</w:t>
            </w:r>
          </w:p>
          <w:p w:rsidR="00A02269" w:rsidRPr="00A02269" w:rsidRDefault="00A02269" w:rsidP="00A02269">
            <w:pPr>
              <w:tabs>
                <w:tab w:val="left" w:pos="993"/>
              </w:tabs>
              <w:spacing w:after="0" w:line="240" w:lineRule="auto"/>
              <w:ind w:firstLine="426"/>
              <w:jc w:val="both"/>
              <w:rPr>
                <w:rFonts w:ascii="Times New Roman" w:eastAsiaTheme="minorHAnsi" w:hAnsi="Times New Roman"/>
                <w:spacing w:val="-4"/>
                <w:sz w:val="24"/>
                <w:szCs w:val="24"/>
              </w:rPr>
            </w:pPr>
            <w:r w:rsidRPr="00A02269">
              <w:rPr>
                <w:rFonts w:ascii="Times New Roman" w:eastAsiaTheme="minorHAnsi" w:hAnsi="Times New Roman"/>
                <w:sz w:val="24"/>
                <w:szCs w:val="24"/>
              </w:rPr>
              <w:t xml:space="preserve">2.3.4.1. </w:t>
            </w:r>
            <w:r w:rsidRPr="00A02269">
              <w:rPr>
                <w:rFonts w:ascii="Times New Roman" w:eastAsiaTheme="minorHAnsi" w:hAnsi="Times New Roman"/>
                <w:spacing w:val="-4"/>
                <w:sz w:val="24"/>
                <w:szCs w:val="24"/>
              </w:rPr>
              <w:t xml:space="preserve">Будівельний об’єм, </w:t>
            </w:r>
            <w:proofErr w:type="spellStart"/>
            <w:r w:rsidRPr="00A02269">
              <w:rPr>
                <w:rFonts w:ascii="Times New Roman" w:eastAsiaTheme="minorHAnsi" w:hAnsi="Times New Roman"/>
                <w:spacing w:val="-4"/>
                <w:sz w:val="24"/>
                <w:szCs w:val="24"/>
              </w:rPr>
              <w:t>м.куб</w:t>
            </w:r>
            <w:proofErr w:type="spellEnd"/>
            <w:r w:rsidRPr="00A02269">
              <w:rPr>
                <w:rFonts w:ascii="Times New Roman" w:eastAsiaTheme="minorHAnsi" w:hAnsi="Times New Roman"/>
                <w:spacing w:val="-4"/>
                <w:sz w:val="24"/>
                <w:szCs w:val="24"/>
              </w:rPr>
              <w:t>. (в разі коли будівля опалюється - опалювальний об’єм, м. куб.).</w:t>
            </w:r>
          </w:p>
          <w:p w:rsidR="00A02269" w:rsidRPr="00A02269" w:rsidRDefault="00A02269" w:rsidP="00A02269">
            <w:pPr>
              <w:tabs>
                <w:tab w:val="left" w:pos="993"/>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2.3.4.2.</w:t>
            </w:r>
            <w:r w:rsidRPr="00A02269">
              <w:rPr>
                <w:rFonts w:ascii="Times New Roman" w:eastAsiaTheme="minorHAnsi" w:hAnsi="Times New Roman"/>
                <w:sz w:val="24"/>
                <w:szCs w:val="24"/>
              </w:rPr>
              <w:tab/>
              <w:t xml:space="preserve">Площа забудови, </w:t>
            </w:r>
            <w:proofErr w:type="spellStart"/>
            <w:r w:rsidRPr="00A02269">
              <w:rPr>
                <w:rFonts w:ascii="Times New Roman" w:eastAsiaTheme="minorHAnsi" w:hAnsi="Times New Roman"/>
                <w:sz w:val="24"/>
                <w:szCs w:val="24"/>
              </w:rPr>
              <w:t>м.кв</w:t>
            </w:r>
            <w:proofErr w:type="spellEnd"/>
            <w:r w:rsidRPr="00A02269">
              <w:rPr>
                <w:rFonts w:ascii="Times New Roman" w:eastAsiaTheme="minorHAnsi" w:hAnsi="Times New Roman"/>
                <w:sz w:val="24"/>
                <w:szCs w:val="24"/>
              </w:rPr>
              <w:t>.</w:t>
            </w:r>
          </w:p>
          <w:p w:rsidR="00A02269" w:rsidRPr="00A02269" w:rsidRDefault="00A02269" w:rsidP="00A02269">
            <w:pPr>
              <w:tabs>
                <w:tab w:val="left" w:pos="993"/>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2.3.4.3.</w:t>
            </w:r>
            <w:r w:rsidRPr="00A02269">
              <w:rPr>
                <w:rFonts w:ascii="Times New Roman" w:eastAsiaTheme="minorHAnsi" w:hAnsi="Times New Roman"/>
                <w:sz w:val="24"/>
                <w:szCs w:val="24"/>
              </w:rPr>
              <w:tab/>
              <w:t xml:space="preserve">Загальна площа, </w:t>
            </w:r>
            <w:proofErr w:type="spellStart"/>
            <w:r w:rsidRPr="00A02269">
              <w:rPr>
                <w:rFonts w:ascii="Times New Roman" w:eastAsiaTheme="minorHAnsi" w:hAnsi="Times New Roman"/>
                <w:sz w:val="24"/>
                <w:szCs w:val="24"/>
              </w:rPr>
              <w:t>м.кв</w:t>
            </w:r>
            <w:proofErr w:type="spellEnd"/>
            <w:r w:rsidRPr="00A02269">
              <w:rPr>
                <w:rFonts w:ascii="Times New Roman" w:eastAsiaTheme="minorHAnsi" w:hAnsi="Times New Roman"/>
                <w:sz w:val="24"/>
                <w:szCs w:val="24"/>
              </w:rPr>
              <w:t>.</w:t>
            </w:r>
          </w:p>
          <w:p w:rsidR="00A02269" w:rsidRPr="00A02269" w:rsidRDefault="00A02269" w:rsidP="00A02269">
            <w:pPr>
              <w:tabs>
                <w:tab w:val="left" w:pos="993"/>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2.3.4.4.</w:t>
            </w:r>
            <w:r w:rsidRPr="00A02269">
              <w:rPr>
                <w:rFonts w:ascii="Times New Roman" w:eastAsiaTheme="minorHAnsi" w:hAnsi="Times New Roman"/>
                <w:sz w:val="24"/>
                <w:szCs w:val="24"/>
              </w:rPr>
              <w:tab/>
              <w:t>Кількість поверхів.</w:t>
            </w:r>
          </w:p>
          <w:p w:rsidR="00A02269" w:rsidRPr="00A02269" w:rsidRDefault="00A02269" w:rsidP="00A02269">
            <w:pPr>
              <w:tabs>
                <w:tab w:val="left" w:pos="993"/>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2.3.4.5.</w:t>
            </w:r>
            <w:r w:rsidRPr="00A02269">
              <w:rPr>
                <w:rFonts w:ascii="Times New Roman" w:eastAsiaTheme="minorHAnsi" w:hAnsi="Times New Roman"/>
                <w:sz w:val="24"/>
                <w:szCs w:val="24"/>
              </w:rPr>
              <w:tab/>
              <w:t>В разі наявності визначення площі горища.</w:t>
            </w:r>
          </w:p>
          <w:p w:rsidR="00A02269" w:rsidRPr="00A02269" w:rsidRDefault="00A02269" w:rsidP="00A02269">
            <w:pPr>
              <w:tabs>
                <w:tab w:val="left" w:pos="993"/>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2.3.4.6.</w:t>
            </w:r>
            <w:r w:rsidRPr="00A02269">
              <w:rPr>
                <w:rFonts w:ascii="Times New Roman" w:eastAsiaTheme="minorHAnsi" w:hAnsi="Times New Roman"/>
                <w:sz w:val="24"/>
                <w:szCs w:val="24"/>
              </w:rPr>
              <w:tab/>
              <w:t>Визначення площі даху.</w:t>
            </w:r>
          </w:p>
          <w:p w:rsidR="00A02269" w:rsidRPr="00A02269" w:rsidRDefault="00A02269" w:rsidP="00A02269">
            <w:pPr>
              <w:tabs>
                <w:tab w:val="left" w:pos="993"/>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2.3.4.7.</w:t>
            </w:r>
            <w:r w:rsidRPr="00A02269">
              <w:rPr>
                <w:rFonts w:ascii="Times New Roman" w:eastAsiaTheme="minorHAnsi" w:hAnsi="Times New Roman"/>
                <w:sz w:val="24"/>
                <w:szCs w:val="24"/>
              </w:rPr>
              <w:tab/>
              <w:t xml:space="preserve">Технічна характеристика конструктивних елементів: матеріали фундаменту, стін, перегородки, </w:t>
            </w:r>
            <w:r w:rsidRPr="00A02269">
              <w:rPr>
                <w:rFonts w:ascii="Times New Roman" w:eastAsiaTheme="minorHAnsi" w:hAnsi="Times New Roman"/>
                <w:sz w:val="24"/>
                <w:szCs w:val="24"/>
              </w:rPr>
              <w:lastRenderedPageBreak/>
              <w:t>перекриття, підлога (з визначенням площі у експлікації), даху, вікна, двері, сходові клітини, оздоблення внутрішнє та зовнішнє.</w:t>
            </w:r>
          </w:p>
          <w:p w:rsidR="00A02269" w:rsidRPr="00A02269" w:rsidRDefault="00A02269" w:rsidP="00A02269">
            <w:pPr>
              <w:tabs>
                <w:tab w:val="left" w:pos="993"/>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2.3.4.8. Експлікація приміщень: у експлікації приміщень (колонка примітки) визначення матеріалу підлоги по приміщеннях.</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2.4. Надані послуги приймаються Замовником в порядку виконання з виготовленими документами та оформляються актами прийому-передачі послуг та документів, виготовлених в результаті надання послуг. Виконавцем надаються такі документи:</w:t>
            </w:r>
          </w:p>
          <w:p w:rsidR="00A02269" w:rsidRPr="00A02269" w:rsidRDefault="00A02269" w:rsidP="00A02269">
            <w:pPr>
              <w:tabs>
                <w:tab w:val="left" w:pos="709"/>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технічні паспорти на паперовому носії;</w:t>
            </w:r>
          </w:p>
          <w:p w:rsidR="00A02269" w:rsidRPr="00A02269" w:rsidRDefault="00A02269" w:rsidP="00A02269">
            <w:pPr>
              <w:tabs>
                <w:tab w:val="left" w:pos="709"/>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технічні паспорти в електронному форматі.</w:t>
            </w:r>
          </w:p>
          <w:p w:rsidR="00A02269" w:rsidRPr="00A02269" w:rsidRDefault="00A02269" w:rsidP="00A02269">
            <w:pPr>
              <w:tabs>
                <w:tab w:val="left" w:pos="567"/>
              </w:tabs>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3.</w:t>
            </w:r>
            <w:r w:rsidRPr="00A02269">
              <w:rPr>
                <w:rFonts w:ascii="Times New Roman" w:eastAsiaTheme="minorHAnsi" w:hAnsi="Times New Roman"/>
                <w:sz w:val="24"/>
                <w:szCs w:val="24"/>
              </w:rPr>
              <w:tab/>
              <w:t>Вихідні дані, які будуть надаватись Учаснику-переможцю при виконанні Договору:</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довідка про балансову належність;</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w:t>
            </w:r>
            <w:r w:rsidRPr="00A02269">
              <w:rPr>
                <w:rFonts w:ascii="Times New Roman" w:eastAsiaTheme="minorHAnsi" w:hAnsi="Times New Roman"/>
                <w:sz w:val="24"/>
                <w:szCs w:val="24"/>
              </w:rPr>
              <w:tab/>
              <w:t>план схема з експлікацією.</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4.</w:t>
            </w:r>
            <w:r w:rsidRPr="00A02269">
              <w:rPr>
                <w:rFonts w:ascii="Times New Roman" w:eastAsiaTheme="minorHAnsi" w:hAnsi="Times New Roman"/>
                <w:sz w:val="24"/>
                <w:szCs w:val="24"/>
              </w:rPr>
              <w:tab/>
              <w:t>Строк виконання.</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Загальний строк надання послуг – до 01.09.2021 року.</w:t>
            </w:r>
          </w:p>
          <w:p w:rsidR="00A02269" w:rsidRPr="00A02269" w:rsidRDefault="00A02269" w:rsidP="00A02269">
            <w:pPr>
              <w:spacing w:after="0" w:line="240" w:lineRule="auto"/>
              <w:ind w:firstLine="426"/>
              <w:jc w:val="both"/>
              <w:rPr>
                <w:rFonts w:ascii="Times New Roman" w:eastAsiaTheme="minorHAnsi" w:hAnsi="Times New Roman"/>
                <w:sz w:val="24"/>
                <w:szCs w:val="24"/>
              </w:rPr>
            </w:pPr>
            <w:r w:rsidRPr="00A02269">
              <w:rPr>
                <w:rFonts w:ascii="Times New Roman" w:eastAsiaTheme="minorHAnsi" w:hAnsi="Times New Roman"/>
                <w:sz w:val="24"/>
                <w:szCs w:val="24"/>
              </w:rPr>
              <w:t>5.</w:t>
            </w:r>
            <w:r w:rsidRPr="00A02269">
              <w:rPr>
                <w:rFonts w:ascii="Times New Roman" w:eastAsiaTheme="minorHAnsi" w:hAnsi="Times New Roman"/>
                <w:sz w:val="24"/>
                <w:szCs w:val="24"/>
              </w:rPr>
              <w:tab/>
              <w:t>Порядок здачі-приймання:</w:t>
            </w:r>
          </w:p>
          <w:p w:rsidR="00A02269" w:rsidRPr="00A02269" w:rsidRDefault="00A02269" w:rsidP="00A02269">
            <w:pPr>
              <w:spacing w:after="0" w:line="240" w:lineRule="auto"/>
              <w:ind w:firstLine="448"/>
              <w:jc w:val="both"/>
              <w:rPr>
                <w:rFonts w:ascii="Times New Roman" w:eastAsia="Times New Roman" w:hAnsi="Times New Roman"/>
                <w:sz w:val="24"/>
                <w:szCs w:val="24"/>
                <w:lang w:val="ru-RU" w:eastAsia="ru-RU"/>
              </w:rPr>
            </w:pPr>
            <w:proofErr w:type="spellStart"/>
            <w:r w:rsidRPr="00A02269">
              <w:rPr>
                <w:rFonts w:ascii="Times New Roman" w:eastAsia="Times New Roman" w:hAnsi="Times New Roman"/>
                <w:sz w:val="24"/>
                <w:szCs w:val="24"/>
                <w:lang w:val="ru-RU" w:eastAsia="ru-RU"/>
              </w:rPr>
              <w:t>Учасник</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зобов’язаний</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забезпечити</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отримання</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Замовником</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належним</w:t>
            </w:r>
            <w:proofErr w:type="spellEnd"/>
            <w:r w:rsidRPr="00A02269">
              <w:rPr>
                <w:rFonts w:ascii="Times New Roman" w:eastAsia="Times New Roman" w:hAnsi="Times New Roman"/>
                <w:sz w:val="24"/>
                <w:szCs w:val="24"/>
                <w:lang w:val="ru-RU" w:eastAsia="ru-RU"/>
              </w:rPr>
              <w:t xml:space="preserve"> чином </w:t>
            </w:r>
            <w:proofErr w:type="spellStart"/>
            <w:r w:rsidRPr="00A02269">
              <w:rPr>
                <w:rFonts w:ascii="Times New Roman" w:eastAsia="Times New Roman" w:hAnsi="Times New Roman"/>
                <w:sz w:val="24"/>
                <w:szCs w:val="24"/>
                <w:lang w:val="ru-RU" w:eastAsia="ru-RU"/>
              </w:rPr>
              <w:t>оформлених</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документів</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останнього</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зразку</w:t>
            </w:r>
            <w:proofErr w:type="spellEnd"/>
            <w:r w:rsidRPr="00A02269">
              <w:rPr>
                <w:rFonts w:ascii="Times New Roman" w:eastAsia="Times New Roman" w:hAnsi="Times New Roman"/>
                <w:sz w:val="24"/>
                <w:szCs w:val="24"/>
                <w:lang w:val="ru-RU" w:eastAsia="ru-RU"/>
              </w:rPr>
              <w:t xml:space="preserve"> (на дату </w:t>
            </w:r>
            <w:proofErr w:type="spellStart"/>
            <w:r w:rsidRPr="00A02269">
              <w:rPr>
                <w:rFonts w:ascii="Times New Roman" w:eastAsia="Times New Roman" w:hAnsi="Times New Roman"/>
                <w:sz w:val="24"/>
                <w:szCs w:val="24"/>
                <w:lang w:val="ru-RU" w:eastAsia="ru-RU"/>
              </w:rPr>
              <w:t>прийняття</w:t>
            </w:r>
            <w:proofErr w:type="spellEnd"/>
            <w:r w:rsidRPr="00A02269">
              <w:rPr>
                <w:rFonts w:ascii="Times New Roman" w:eastAsia="Times New Roman" w:hAnsi="Times New Roman"/>
                <w:sz w:val="24"/>
                <w:szCs w:val="24"/>
                <w:lang w:val="ru-RU" w:eastAsia="ru-RU"/>
              </w:rPr>
              <w:t xml:space="preserve"> </w:t>
            </w:r>
            <w:proofErr w:type="spellStart"/>
            <w:r w:rsidRPr="00A02269">
              <w:rPr>
                <w:rFonts w:ascii="Times New Roman" w:eastAsia="Times New Roman" w:hAnsi="Times New Roman"/>
                <w:sz w:val="24"/>
                <w:szCs w:val="24"/>
                <w:lang w:val="ru-RU" w:eastAsia="ru-RU"/>
              </w:rPr>
              <w:t>робіт</w:t>
            </w:r>
            <w:proofErr w:type="spellEnd"/>
            <w:r w:rsidRPr="00A02269">
              <w:rPr>
                <w:rFonts w:ascii="Times New Roman" w:eastAsia="Times New Roman" w:hAnsi="Times New Roman"/>
                <w:sz w:val="24"/>
                <w:szCs w:val="24"/>
                <w:lang w:val="ru-RU" w:eastAsia="ru-RU"/>
              </w:rPr>
              <w:t xml:space="preserve"> по Договору).</w:t>
            </w:r>
          </w:p>
          <w:p w:rsidR="005037E2" w:rsidRPr="00A02269" w:rsidRDefault="005037E2" w:rsidP="00AC1167">
            <w:pPr>
              <w:tabs>
                <w:tab w:val="left" w:pos="1134"/>
              </w:tabs>
              <w:spacing w:after="0" w:line="240" w:lineRule="auto"/>
              <w:contextualSpacing/>
              <w:jc w:val="both"/>
              <w:rPr>
                <w:rFonts w:ascii="Times New Roman" w:hAnsi="Times New Roman"/>
                <w:sz w:val="24"/>
                <w:szCs w:val="24"/>
                <w:lang w:val="ru-RU"/>
              </w:rPr>
            </w:pPr>
          </w:p>
        </w:tc>
      </w:tr>
      <w:tr w:rsidR="005037E2" w:rsidRPr="0089282F" w:rsidTr="002C3240">
        <w:tc>
          <w:tcPr>
            <w:tcW w:w="421" w:type="dxa"/>
            <w:shd w:val="clear" w:color="auto" w:fill="auto"/>
          </w:tcPr>
          <w:p w:rsidR="005037E2" w:rsidRPr="0089282F" w:rsidRDefault="005037E2" w:rsidP="002C3240">
            <w:pPr>
              <w:rPr>
                <w:rFonts w:ascii="Times New Roman" w:hAnsi="Times New Roman"/>
                <w:sz w:val="24"/>
                <w:szCs w:val="24"/>
              </w:rPr>
            </w:pPr>
            <w:r w:rsidRPr="0089282F">
              <w:rPr>
                <w:rFonts w:ascii="Times New Roman" w:hAnsi="Times New Roman"/>
                <w:sz w:val="24"/>
                <w:szCs w:val="24"/>
              </w:rPr>
              <w:lastRenderedPageBreak/>
              <w:t>5</w:t>
            </w:r>
          </w:p>
        </w:tc>
        <w:tc>
          <w:tcPr>
            <w:tcW w:w="3210" w:type="dxa"/>
            <w:shd w:val="clear" w:color="auto" w:fill="auto"/>
          </w:tcPr>
          <w:p w:rsidR="005037E2" w:rsidRPr="0089282F" w:rsidRDefault="005037E2" w:rsidP="002C3240">
            <w:pPr>
              <w:rPr>
                <w:rFonts w:ascii="Times New Roman" w:hAnsi="Times New Roman"/>
                <w:b/>
                <w:sz w:val="24"/>
                <w:szCs w:val="24"/>
              </w:rPr>
            </w:pPr>
            <w:r w:rsidRPr="0089282F">
              <w:rPr>
                <w:rFonts w:ascii="Times New Roman" w:eastAsia="Times New Roman" w:hAnsi="Times New Roman"/>
                <w:b/>
                <w:sz w:val="24"/>
                <w:szCs w:val="24"/>
                <w:lang w:eastAsia="ru-RU"/>
              </w:rPr>
              <w:t xml:space="preserve">Обґрунтування розміру бюджетного призначення </w:t>
            </w:r>
          </w:p>
        </w:tc>
        <w:tc>
          <w:tcPr>
            <w:tcW w:w="6145" w:type="dxa"/>
            <w:shd w:val="clear" w:color="auto" w:fill="auto"/>
          </w:tcPr>
          <w:p w:rsidR="005037E2" w:rsidRDefault="005037E2" w:rsidP="002C3240">
            <w:pPr>
              <w:spacing w:after="0"/>
              <w:jc w:val="both"/>
              <w:rPr>
                <w:rFonts w:ascii="Times New Roman" w:eastAsia="Times New Roman" w:hAnsi="Times New Roman"/>
                <w:sz w:val="24"/>
                <w:szCs w:val="24"/>
                <w:lang w:eastAsia="ru-RU"/>
              </w:rPr>
            </w:pPr>
            <w:r w:rsidRPr="000F15CA">
              <w:rPr>
                <w:rFonts w:ascii="Times New Roman" w:eastAsia="Times New Roman" w:hAnsi="Times New Roman"/>
                <w:sz w:val="24"/>
                <w:szCs w:val="24"/>
                <w:lang w:eastAsia="ru-RU"/>
              </w:rPr>
              <w:t xml:space="preserve">Розмір бюджетного призначення, визначений відповідно до </w:t>
            </w:r>
            <w:r>
              <w:rPr>
                <w:rFonts w:ascii="Times New Roman" w:eastAsia="Times New Roman" w:hAnsi="Times New Roman"/>
                <w:sz w:val="24"/>
                <w:szCs w:val="24"/>
                <w:lang w:eastAsia="ru-RU"/>
              </w:rPr>
              <w:t xml:space="preserve">розрахунку до </w:t>
            </w:r>
            <w:r>
              <w:rPr>
                <w:rFonts w:ascii="Times New Roman" w:hAnsi="Times New Roman"/>
                <w:sz w:val="24"/>
                <w:szCs w:val="24"/>
              </w:rPr>
              <w:t xml:space="preserve">кошторисів за загальним та спеціальним фондами ДДПУ </w:t>
            </w:r>
            <w:r>
              <w:rPr>
                <w:rFonts w:ascii="Times New Roman" w:eastAsia="Times New Roman" w:hAnsi="Times New Roman"/>
                <w:sz w:val="24"/>
                <w:szCs w:val="24"/>
                <w:lang w:eastAsia="ru-RU"/>
              </w:rPr>
              <w:t>н</w:t>
            </w:r>
            <w:r w:rsidRPr="000F15CA">
              <w:rPr>
                <w:rFonts w:ascii="Times New Roman" w:eastAsia="Times New Roman" w:hAnsi="Times New Roman"/>
                <w:sz w:val="24"/>
                <w:szCs w:val="24"/>
                <w:lang w:eastAsia="ru-RU"/>
              </w:rPr>
              <w:t>а 2021 рік</w:t>
            </w:r>
            <w:r>
              <w:rPr>
                <w:rFonts w:ascii="Times New Roman" w:eastAsia="Times New Roman" w:hAnsi="Times New Roman"/>
                <w:sz w:val="24"/>
                <w:szCs w:val="24"/>
                <w:lang w:eastAsia="ru-RU"/>
              </w:rPr>
              <w:t xml:space="preserve"> і складає </w:t>
            </w:r>
          </w:p>
          <w:p w:rsidR="005037E2" w:rsidRPr="00E31A28" w:rsidRDefault="00A02269" w:rsidP="002C3240">
            <w:pPr>
              <w:spacing w:after="0"/>
              <w:jc w:val="both"/>
              <w:rPr>
                <w:rFonts w:ascii="Times New Roman" w:eastAsia="Times New Roman" w:hAnsi="Times New Roman"/>
                <w:sz w:val="24"/>
                <w:szCs w:val="24"/>
                <w:lang w:eastAsia="ru-RU"/>
              </w:rPr>
            </w:pPr>
            <w:r>
              <w:rPr>
                <w:rFonts w:ascii="Times New Roman" w:eastAsia="Times New Roman" w:hAnsi="Times New Roman"/>
                <w:b/>
                <w:bCs/>
                <w:color w:val="333333"/>
                <w:sz w:val="24"/>
                <w:szCs w:val="24"/>
                <w:lang w:val="ru-RU" w:eastAsia="uk-UA"/>
              </w:rPr>
              <w:t>14 048</w:t>
            </w:r>
            <w:r>
              <w:rPr>
                <w:rFonts w:ascii="Times New Roman" w:eastAsia="Times New Roman" w:hAnsi="Times New Roman"/>
                <w:b/>
                <w:bCs/>
                <w:color w:val="333333"/>
                <w:sz w:val="24"/>
                <w:szCs w:val="24"/>
                <w:lang w:eastAsia="uk-UA"/>
              </w:rPr>
              <w:t xml:space="preserve">, </w:t>
            </w:r>
            <w:r>
              <w:rPr>
                <w:rFonts w:ascii="Times New Roman" w:eastAsia="Times New Roman" w:hAnsi="Times New Roman"/>
                <w:b/>
                <w:bCs/>
                <w:color w:val="333333"/>
                <w:sz w:val="24"/>
                <w:szCs w:val="24"/>
                <w:lang w:val="ru-RU" w:eastAsia="uk-UA"/>
              </w:rPr>
              <w:t>64</w:t>
            </w:r>
            <w:r w:rsidR="005037E2" w:rsidRPr="00B50F1D">
              <w:rPr>
                <w:rFonts w:ascii="Times New Roman" w:eastAsia="Times New Roman" w:hAnsi="Times New Roman"/>
                <w:b/>
                <w:bCs/>
                <w:color w:val="333333"/>
                <w:sz w:val="24"/>
                <w:szCs w:val="24"/>
                <w:lang w:eastAsia="uk-UA"/>
              </w:rPr>
              <w:t xml:space="preserve"> грн</w:t>
            </w:r>
          </w:p>
        </w:tc>
      </w:tr>
      <w:tr w:rsidR="005037E2" w:rsidRPr="0089282F" w:rsidTr="002C3240">
        <w:tc>
          <w:tcPr>
            <w:tcW w:w="421" w:type="dxa"/>
            <w:shd w:val="clear" w:color="auto" w:fill="auto"/>
          </w:tcPr>
          <w:p w:rsidR="005037E2" w:rsidRPr="0089282F" w:rsidRDefault="005037E2" w:rsidP="002C3240">
            <w:pPr>
              <w:rPr>
                <w:rFonts w:ascii="Times New Roman" w:hAnsi="Times New Roman"/>
                <w:sz w:val="24"/>
                <w:szCs w:val="24"/>
              </w:rPr>
            </w:pPr>
            <w:r w:rsidRPr="0089282F">
              <w:rPr>
                <w:rFonts w:ascii="Times New Roman" w:hAnsi="Times New Roman"/>
                <w:sz w:val="24"/>
                <w:szCs w:val="24"/>
              </w:rPr>
              <w:t>6</w:t>
            </w:r>
          </w:p>
        </w:tc>
        <w:tc>
          <w:tcPr>
            <w:tcW w:w="3210" w:type="dxa"/>
            <w:shd w:val="clear" w:color="auto" w:fill="auto"/>
          </w:tcPr>
          <w:p w:rsidR="005037E2" w:rsidRPr="0089282F" w:rsidRDefault="005037E2" w:rsidP="002C3240">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Очікувана вартість предмета закупівлі</w:t>
            </w:r>
          </w:p>
        </w:tc>
        <w:tc>
          <w:tcPr>
            <w:tcW w:w="6145" w:type="dxa"/>
            <w:shd w:val="clear" w:color="auto" w:fill="auto"/>
          </w:tcPr>
          <w:p w:rsidR="005037E2" w:rsidRPr="00B50F1D" w:rsidRDefault="00A02269" w:rsidP="00A02269">
            <w:pPr>
              <w:rPr>
                <w:rFonts w:ascii="Times New Roman" w:eastAsia="Times New Roman" w:hAnsi="Times New Roman"/>
                <w:sz w:val="24"/>
                <w:szCs w:val="24"/>
                <w:lang w:eastAsia="ru-RU"/>
              </w:rPr>
            </w:pPr>
            <w:r>
              <w:rPr>
                <w:rFonts w:ascii="Times New Roman" w:eastAsia="Times New Roman" w:hAnsi="Times New Roman"/>
                <w:b/>
                <w:bCs/>
                <w:color w:val="333333"/>
                <w:sz w:val="24"/>
                <w:szCs w:val="24"/>
                <w:lang w:val="ru-RU" w:eastAsia="uk-UA"/>
              </w:rPr>
              <w:t>11 707</w:t>
            </w:r>
            <w:r>
              <w:rPr>
                <w:rFonts w:ascii="Times New Roman" w:eastAsia="Times New Roman" w:hAnsi="Times New Roman"/>
                <w:b/>
                <w:bCs/>
                <w:color w:val="333333"/>
                <w:sz w:val="24"/>
                <w:szCs w:val="24"/>
                <w:lang w:eastAsia="uk-UA"/>
              </w:rPr>
              <w:t xml:space="preserve">, </w:t>
            </w:r>
            <w:r>
              <w:rPr>
                <w:rFonts w:ascii="Times New Roman" w:eastAsia="Times New Roman" w:hAnsi="Times New Roman"/>
                <w:b/>
                <w:bCs/>
                <w:color w:val="333333"/>
                <w:sz w:val="24"/>
                <w:szCs w:val="24"/>
                <w:lang w:val="ru-RU" w:eastAsia="uk-UA"/>
              </w:rPr>
              <w:t>2</w:t>
            </w:r>
            <w:r w:rsidR="005037E2" w:rsidRPr="00B50F1D">
              <w:rPr>
                <w:rFonts w:ascii="Times New Roman" w:eastAsia="Times New Roman" w:hAnsi="Times New Roman"/>
                <w:b/>
                <w:bCs/>
                <w:color w:val="333333"/>
                <w:sz w:val="24"/>
                <w:szCs w:val="24"/>
                <w:lang w:eastAsia="uk-UA"/>
              </w:rPr>
              <w:t xml:space="preserve"> грн</w:t>
            </w:r>
            <w:r w:rsidR="005037E2" w:rsidRPr="00B50F1D">
              <w:rPr>
                <w:rFonts w:ascii="Times New Roman" w:hAnsi="Times New Roman"/>
                <w:sz w:val="24"/>
                <w:szCs w:val="24"/>
              </w:rPr>
              <w:t xml:space="preserve"> без ПДВ та відповідно </w:t>
            </w:r>
            <w:r>
              <w:rPr>
                <w:rFonts w:ascii="Times New Roman" w:hAnsi="Times New Roman"/>
                <w:b/>
                <w:sz w:val="24"/>
                <w:szCs w:val="24"/>
                <w:lang w:val="ru-RU"/>
              </w:rPr>
              <w:t>14</w:t>
            </w:r>
            <w:r>
              <w:rPr>
                <w:rFonts w:ascii="Times New Roman" w:eastAsia="Times New Roman" w:hAnsi="Times New Roman"/>
                <w:b/>
                <w:bCs/>
                <w:color w:val="333333"/>
                <w:sz w:val="24"/>
                <w:szCs w:val="24"/>
                <w:lang w:eastAsia="uk-UA"/>
              </w:rPr>
              <w:t> </w:t>
            </w:r>
            <w:r>
              <w:rPr>
                <w:rFonts w:ascii="Times New Roman" w:eastAsia="Times New Roman" w:hAnsi="Times New Roman"/>
                <w:b/>
                <w:bCs/>
                <w:color w:val="333333"/>
                <w:sz w:val="24"/>
                <w:szCs w:val="24"/>
                <w:lang w:val="ru-RU" w:eastAsia="uk-UA"/>
              </w:rPr>
              <w:t>048</w:t>
            </w:r>
            <w:r>
              <w:rPr>
                <w:rFonts w:ascii="Times New Roman" w:eastAsia="Times New Roman" w:hAnsi="Times New Roman"/>
                <w:b/>
                <w:bCs/>
                <w:color w:val="333333"/>
                <w:sz w:val="24"/>
                <w:szCs w:val="24"/>
                <w:lang w:eastAsia="uk-UA"/>
              </w:rPr>
              <w:t xml:space="preserve">, </w:t>
            </w:r>
            <w:r>
              <w:rPr>
                <w:rFonts w:ascii="Times New Roman" w:eastAsia="Times New Roman" w:hAnsi="Times New Roman"/>
                <w:b/>
                <w:bCs/>
                <w:color w:val="333333"/>
                <w:sz w:val="24"/>
                <w:szCs w:val="24"/>
                <w:lang w:val="ru-RU" w:eastAsia="uk-UA"/>
              </w:rPr>
              <w:t>64</w:t>
            </w:r>
            <w:r w:rsidR="005037E2" w:rsidRPr="00B50F1D">
              <w:rPr>
                <w:rFonts w:ascii="Times New Roman" w:eastAsia="Times New Roman" w:hAnsi="Times New Roman"/>
                <w:b/>
                <w:bCs/>
                <w:color w:val="333333"/>
                <w:sz w:val="24"/>
                <w:szCs w:val="24"/>
                <w:lang w:eastAsia="uk-UA"/>
              </w:rPr>
              <w:t xml:space="preserve"> грн</w:t>
            </w:r>
            <w:r w:rsidR="005037E2" w:rsidRPr="00B50F1D">
              <w:rPr>
                <w:rFonts w:ascii="Times New Roman" w:hAnsi="Times New Roman"/>
                <w:sz w:val="24"/>
                <w:szCs w:val="24"/>
              </w:rPr>
              <w:t xml:space="preserve"> з ПДВ</w:t>
            </w:r>
          </w:p>
        </w:tc>
      </w:tr>
      <w:tr w:rsidR="005037E2" w:rsidRPr="0089282F" w:rsidTr="002C3240">
        <w:tc>
          <w:tcPr>
            <w:tcW w:w="421" w:type="dxa"/>
            <w:shd w:val="clear" w:color="auto" w:fill="auto"/>
          </w:tcPr>
          <w:p w:rsidR="005037E2" w:rsidRPr="0089282F" w:rsidRDefault="005037E2" w:rsidP="002C3240">
            <w:pPr>
              <w:rPr>
                <w:rFonts w:ascii="Times New Roman" w:hAnsi="Times New Roman"/>
                <w:sz w:val="24"/>
                <w:szCs w:val="24"/>
              </w:rPr>
            </w:pPr>
            <w:r w:rsidRPr="0089282F">
              <w:rPr>
                <w:rFonts w:ascii="Times New Roman" w:hAnsi="Times New Roman"/>
                <w:sz w:val="24"/>
                <w:szCs w:val="24"/>
              </w:rPr>
              <w:t>7</w:t>
            </w:r>
          </w:p>
        </w:tc>
        <w:tc>
          <w:tcPr>
            <w:tcW w:w="3210" w:type="dxa"/>
            <w:shd w:val="clear" w:color="auto" w:fill="auto"/>
          </w:tcPr>
          <w:p w:rsidR="005037E2" w:rsidRPr="0089282F" w:rsidRDefault="005037E2" w:rsidP="002C3240">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Обґрунтування очікуваної вартості предмета закупівлі</w:t>
            </w:r>
          </w:p>
        </w:tc>
        <w:tc>
          <w:tcPr>
            <w:tcW w:w="6145" w:type="dxa"/>
            <w:shd w:val="clear" w:color="auto" w:fill="auto"/>
          </w:tcPr>
          <w:p w:rsidR="00A02269" w:rsidRPr="00A02269" w:rsidRDefault="00A02269" w:rsidP="00A02269">
            <w:pPr>
              <w:shd w:val="clear" w:color="auto" w:fill="FFFFFF"/>
              <w:spacing w:after="0" w:line="360" w:lineRule="auto"/>
              <w:ind w:firstLine="450"/>
              <w:contextualSpacing/>
              <w:jc w:val="both"/>
              <w:rPr>
                <w:rFonts w:ascii="Times New Roman" w:eastAsia="Times New Roman" w:hAnsi="Times New Roman"/>
                <w:color w:val="333333"/>
                <w:sz w:val="24"/>
                <w:szCs w:val="24"/>
                <w:lang w:eastAsia="uk-UA"/>
              </w:rPr>
            </w:pPr>
            <w:r w:rsidRPr="00A02269">
              <w:rPr>
                <w:rFonts w:ascii="Times New Roman" w:eastAsia="Times New Roman" w:hAnsi="Times New Roman"/>
                <w:color w:val="333333"/>
                <w:sz w:val="24"/>
                <w:szCs w:val="24"/>
                <w:lang w:eastAsia="uk-UA"/>
              </w:rPr>
              <w:t xml:space="preserve">Очікувана вартість, яка визначається на підставі цін попередніх </w:t>
            </w:r>
            <w:proofErr w:type="spellStart"/>
            <w:r w:rsidRPr="00A02269">
              <w:rPr>
                <w:rFonts w:ascii="Times New Roman" w:eastAsia="Times New Roman" w:hAnsi="Times New Roman"/>
                <w:color w:val="333333"/>
                <w:sz w:val="24"/>
                <w:szCs w:val="24"/>
                <w:lang w:eastAsia="uk-UA"/>
              </w:rPr>
              <w:t>закупівель</w:t>
            </w:r>
            <w:proofErr w:type="spellEnd"/>
            <w:r w:rsidRPr="00A02269">
              <w:rPr>
                <w:rFonts w:ascii="Times New Roman" w:eastAsia="Times New Roman" w:hAnsi="Times New Roman"/>
                <w:color w:val="333333"/>
                <w:sz w:val="24"/>
                <w:szCs w:val="24"/>
                <w:lang w:eastAsia="uk-UA"/>
              </w:rPr>
              <w:t>, розраховується за такою формулою:</w:t>
            </w:r>
          </w:p>
          <w:p w:rsidR="00A02269" w:rsidRPr="00A02269" w:rsidRDefault="00A02269" w:rsidP="00A02269">
            <w:pPr>
              <w:shd w:val="clear" w:color="auto" w:fill="FFFFFF"/>
              <w:spacing w:after="0" w:line="360" w:lineRule="auto"/>
              <w:contextualSpacing/>
              <w:jc w:val="center"/>
              <w:rPr>
                <w:rFonts w:ascii="Times New Roman" w:eastAsia="Times New Roman" w:hAnsi="Times New Roman"/>
                <w:color w:val="333333"/>
                <w:sz w:val="24"/>
                <w:szCs w:val="24"/>
                <w:lang w:eastAsia="uk-UA"/>
              </w:rPr>
            </w:pPr>
            <w:bookmarkStart w:id="0" w:name="n71"/>
            <w:bookmarkEnd w:id="0"/>
            <w:r w:rsidRPr="00A02269">
              <w:rPr>
                <w:rFonts w:ascii="Times New Roman" w:eastAsia="Times New Roman" w:hAnsi="Times New Roman"/>
                <w:b/>
                <w:bCs/>
                <w:color w:val="333333"/>
                <w:sz w:val="24"/>
                <w:szCs w:val="24"/>
                <w:lang w:eastAsia="uk-UA"/>
              </w:rPr>
              <w:t>ОВ</w:t>
            </w:r>
            <w:r w:rsidRPr="00A02269">
              <w:rPr>
                <w:rFonts w:ascii="Times New Roman" w:eastAsia="Times New Roman" w:hAnsi="Times New Roman"/>
                <w:b/>
                <w:bCs/>
                <w:color w:val="333333"/>
                <w:sz w:val="16"/>
                <w:szCs w:val="16"/>
                <w:vertAlign w:val="superscript"/>
                <w:lang w:eastAsia="uk-UA"/>
              </w:rPr>
              <w:t> i</w:t>
            </w:r>
            <w:r w:rsidRPr="00A02269">
              <w:rPr>
                <w:rFonts w:ascii="Times New Roman" w:eastAsia="Times New Roman" w:hAnsi="Times New Roman"/>
                <w:color w:val="333333"/>
                <w:sz w:val="24"/>
                <w:szCs w:val="24"/>
                <w:lang w:eastAsia="uk-UA"/>
              </w:rPr>
              <w:t> </w:t>
            </w:r>
            <w:r w:rsidRPr="00A02269">
              <w:rPr>
                <w:rFonts w:ascii="Times New Roman" w:eastAsia="Times New Roman" w:hAnsi="Times New Roman"/>
                <w:b/>
                <w:bCs/>
                <w:color w:val="333333"/>
                <w:sz w:val="24"/>
                <w:szCs w:val="24"/>
                <w:lang w:eastAsia="uk-UA"/>
              </w:rPr>
              <w:t>= V * Ц</w:t>
            </w:r>
            <w:r w:rsidRPr="00A02269">
              <w:rPr>
                <w:rFonts w:ascii="Times New Roman" w:eastAsia="Times New Roman" w:hAnsi="Times New Roman"/>
                <w:b/>
                <w:bCs/>
                <w:color w:val="333333"/>
                <w:sz w:val="16"/>
                <w:szCs w:val="16"/>
                <w:vertAlign w:val="subscript"/>
                <w:lang w:eastAsia="uk-UA"/>
              </w:rPr>
              <w:t> </w:t>
            </w:r>
            <w:proofErr w:type="spellStart"/>
            <w:r w:rsidRPr="00A02269">
              <w:rPr>
                <w:rFonts w:ascii="Times New Roman" w:eastAsia="Times New Roman" w:hAnsi="Times New Roman"/>
                <w:b/>
                <w:bCs/>
                <w:color w:val="333333"/>
                <w:sz w:val="16"/>
                <w:szCs w:val="16"/>
                <w:vertAlign w:val="subscript"/>
                <w:lang w:eastAsia="uk-UA"/>
              </w:rPr>
              <w:t>м.п</w:t>
            </w:r>
            <w:proofErr w:type="spellEnd"/>
            <w:r w:rsidRPr="00A02269">
              <w:rPr>
                <w:rFonts w:ascii="Times New Roman" w:eastAsia="Times New Roman" w:hAnsi="Times New Roman"/>
                <w:b/>
                <w:bCs/>
                <w:color w:val="333333"/>
                <w:sz w:val="16"/>
                <w:szCs w:val="16"/>
                <w:vertAlign w:val="subscript"/>
                <w:lang w:eastAsia="uk-UA"/>
              </w:rPr>
              <w:t>.</w:t>
            </w:r>
            <w:r w:rsidRPr="00A02269">
              <w:rPr>
                <w:rFonts w:ascii="Times New Roman" w:eastAsia="Times New Roman" w:hAnsi="Times New Roman"/>
                <w:b/>
                <w:bCs/>
                <w:color w:val="333333"/>
                <w:sz w:val="24"/>
                <w:szCs w:val="24"/>
                <w:lang w:eastAsia="uk-UA"/>
              </w:rPr>
              <w:t> х k</w:t>
            </w:r>
            <w:r w:rsidRPr="00A02269">
              <w:rPr>
                <w:rFonts w:ascii="Times New Roman" w:eastAsia="Times New Roman" w:hAnsi="Times New Roman"/>
                <w:b/>
                <w:bCs/>
                <w:color w:val="333333"/>
                <w:sz w:val="16"/>
                <w:szCs w:val="16"/>
                <w:vertAlign w:val="subscript"/>
                <w:lang w:eastAsia="uk-UA"/>
              </w:rPr>
              <w:t> i</w:t>
            </w:r>
            <w:r w:rsidRPr="00A02269">
              <w:rPr>
                <w:rFonts w:ascii="Times New Roman" w:eastAsia="Times New Roman" w:hAnsi="Times New Roman"/>
                <w:color w:val="333333"/>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8"/>
              <w:gridCol w:w="593"/>
              <w:gridCol w:w="110"/>
              <w:gridCol w:w="4878"/>
            </w:tblGrid>
            <w:tr w:rsidR="00A02269" w:rsidRPr="00A02269" w:rsidTr="00BA60E3">
              <w:tc>
                <w:tcPr>
                  <w:tcW w:w="390"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bookmarkStart w:id="1" w:name="n72"/>
                  <w:bookmarkEnd w:id="1"/>
                  <w:r w:rsidRPr="00A02269">
                    <w:rPr>
                      <w:rFonts w:ascii="Times New Roman" w:eastAsia="Times New Roman" w:hAnsi="Times New Roman"/>
                      <w:sz w:val="24"/>
                      <w:szCs w:val="24"/>
                      <w:lang w:eastAsia="uk-UA"/>
                    </w:rPr>
                    <w:t>де:</w:t>
                  </w:r>
                </w:p>
              </w:tc>
              <w:tc>
                <w:tcPr>
                  <w:tcW w:w="945"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proofErr w:type="spellStart"/>
                  <w:r w:rsidRPr="00A02269">
                    <w:rPr>
                      <w:rFonts w:ascii="Times New Roman" w:eastAsia="Times New Roman" w:hAnsi="Times New Roman"/>
                      <w:b/>
                      <w:bCs/>
                      <w:sz w:val="24"/>
                      <w:szCs w:val="24"/>
                      <w:lang w:eastAsia="uk-UA"/>
                    </w:rPr>
                    <w:t>ОВ</w:t>
                  </w:r>
                  <w:r w:rsidRPr="00A02269">
                    <w:rPr>
                      <w:rFonts w:ascii="Times New Roman" w:eastAsia="Times New Roman" w:hAnsi="Times New Roman"/>
                      <w:b/>
                      <w:bCs/>
                      <w:sz w:val="16"/>
                      <w:szCs w:val="16"/>
                      <w:vertAlign w:val="subscript"/>
                      <w:lang w:eastAsia="uk-UA"/>
                    </w:rPr>
                    <w:t>i</w:t>
                  </w:r>
                  <w:proofErr w:type="spellEnd"/>
                </w:p>
              </w:tc>
              <w:tc>
                <w:tcPr>
                  <w:tcW w:w="15" w:type="dxa"/>
                  <w:tcBorders>
                    <w:top w:val="nil"/>
                    <w:left w:val="nil"/>
                    <w:bottom w:val="nil"/>
                    <w:right w:val="nil"/>
                  </w:tcBorders>
                  <w:hideMark/>
                </w:tcPr>
                <w:p w:rsidR="00A02269" w:rsidRPr="00A02269" w:rsidRDefault="00A02269" w:rsidP="00A02269">
                  <w:pPr>
                    <w:spacing w:after="0" w:line="360" w:lineRule="auto"/>
                    <w:contextualSpacing/>
                    <w:jc w:val="center"/>
                    <w:rPr>
                      <w:rFonts w:ascii="Times New Roman" w:eastAsia="Times New Roman" w:hAnsi="Times New Roman"/>
                      <w:sz w:val="24"/>
                      <w:szCs w:val="24"/>
                      <w:lang w:eastAsia="uk-UA"/>
                    </w:rPr>
                  </w:pPr>
                  <w:r w:rsidRPr="00A02269">
                    <w:rPr>
                      <w:rFonts w:ascii="Times New Roman" w:eastAsia="Times New Roman" w:hAnsi="Times New Roman"/>
                      <w:sz w:val="24"/>
                      <w:szCs w:val="24"/>
                      <w:lang w:eastAsia="uk-UA"/>
                    </w:rPr>
                    <w:t>-</w:t>
                  </w:r>
                </w:p>
              </w:tc>
              <w:tc>
                <w:tcPr>
                  <w:tcW w:w="11025"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r w:rsidRPr="00A02269">
                    <w:rPr>
                      <w:rFonts w:ascii="Times New Roman" w:eastAsia="Times New Roman" w:hAnsi="Times New Roman"/>
                      <w:sz w:val="24"/>
                      <w:szCs w:val="24"/>
                      <w:lang w:eastAsia="uk-UA"/>
                    </w:rPr>
                    <w:t>очікувана вартість на підставі закупівельних цін минулих періодів;</w:t>
                  </w:r>
                </w:p>
              </w:tc>
            </w:tr>
            <w:tr w:rsidR="00A02269" w:rsidRPr="00A02269" w:rsidTr="00BA60E3">
              <w:tc>
                <w:tcPr>
                  <w:tcW w:w="390"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p>
              </w:tc>
              <w:tc>
                <w:tcPr>
                  <w:tcW w:w="945"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r w:rsidRPr="00A02269">
                    <w:rPr>
                      <w:rFonts w:ascii="Times New Roman" w:eastAsia="Times New Roman" w:hAnsi="Times New Roman"/>
                      <w:b/>
                      <w:bCs/>
                      <w:sz w:val="24"/>
                      <w:szCs w:val="24"/>
                      <w:lang w:eastAsia="uk-UA"/>
                    </w:rPr>
                    <w:t>V</w:t>
                  </w:r>
                </w:p>
              </w:tc>
              <w:tc>
                <w:tcPr>
                  <w:tcW w:w="15" w:type="dxa"/>
                  <w:tcBorders>
                    <w:top w:val="nil"/>
                    <w:left w:val="nil"/>
                    <w:bottom w:val="nil"/>
                    <w:right w:val="nil"/>
                  </w:tcBorders>
                  <w:hideMark/>
                </w:tcPr>
                <w:p w:rsidR="00A02269" w:rsidRPr="00A02269" w:rsidRDefault="00A02269" w:rsidP="00A02269">
                  <w:pPr>
                    <w:spacing w:after="0" w:line="360" w:lineRule="auto"/>
                    <w:contextualSpacing/>
                    <w:jc w:val="center"/>
                    <w:rPr>
                      <w:rFonts w:ascii="Times New Roman" w:eastAsia="Times New Roman" w:hAnsi="Times New Roman"/>
                      <w:sz w:val="24"/>
                      <w:szCs w:val="24"/>
                      <w:lang w:eastAsia="uk-UA"/>
                    </w:rPr>
                  </w:pPr>
                  <w:r w:rsidRPr="00A02269">
                    <w:rPr>
                      <w:rFonts w:ascii="Times New Roman" w:eastAsia="Times New Roman" w:hAnsi="Times New Roman"/>
                      <w:sz w:val="24"/>
                      <w:szCs w:val="24"/>
                      <w:lang w:eastAsia="uk-UA"/>
                    </w:rPr>
                    <w:t>-</w:t>
                  </w:r>
                </w:p>
              </w:tc>
              <w:tc>
                <w:tcPr>
                  <w:tcW w:w="11025"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r w:rsidRPr="00A02269">
                    <w:rPr>
                      <w:rFonts w:ascii="Times New Roman" w:eastAsia="Times New Roman" w:hAnsi="Times New Roman"/>
                      <w:sz w:val="24"/>
                      <w:szCs w:val="24"/>
                      <w:lang w:eastAsia="uk-UA"/>
                    </w:rPr>
                    <w:t>обсяг товарів/послуг, що закуповується;</w:t>
                  </w:r>
                </w:p>
              </w:tc>
            </w:tr>
            <w:tr w:rsidR="00A02269" w:rsidRPr="00A02269" w:rsidTr="00BA60E3">
              <w:tc>
                <w:tcPr>
                  <w:tcW w:w="390"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p>
              </w:tc>
              <w:tc>
                <w:tcPr>
                  <w:tcW w:w="945"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proofErr w:type="spellStart"/>
                  <w:r w:rsidRPr="00A02269">
                    <w:rPr>
                      <w:rFonts w:ascii="Times New Roman" w:eastAsia="Times New Roman" w:hAnsi="Times New Roman"/>
                      <w:b/>
                      <w:bCs/>
                      <w:sz w:val="24"/>
                      <w:szCs w:val="24"/>
                      <w:lang w:eastAsia="uk-UA"/>
                    </w:rPr>
                    <w:t>Ц</w:t>
                  </w:r>
                  <w:r w:rsidRPr="00A02269">
                    <w:rPr>
                      <w:rFonts w:ascii="Times New Roman" w:eastAsia="Times New Roman" w:hAnsi="Times New Roman"/>
                      <w:b/>
                      <w:bCs/>
                      <w:sz w:val="16"/>
                      <w:szCs w:val="16"/>
                      <w:vertAlign w:val="subscript"/>
                      <w:lang w:eastAsia="uk-UA"/>
                    </w:rPr>
                    <w:t>м.п</w:t>
                  </w:r>
                  <w:proofErr w:type="spellEnd"/>
                  <w:r w:rsidRPr="00A02269">
                    <w:rPr>
                      <w:rFonts w:ascii="Times New Roman" w:eastAsia="Times New Roman" w:hAnsi="Times New Roman"/>
                      <w:b/>
                      <w:bCs/>
                      <w:sz w:val="16"/>
                      <w:szCs w:val="16"/>
                      <w:vertAlign w:val="subscript"/>
                      <w:lang w:eastAsia="uk-UA"/>
                    </w:rPr>
                    <w:t>.</w:t>
                  </w:r>
                </w:p>
              </w:tc>
              <w:tc>
                <w:tcPr>
                  <w:tcW w:w="15" w:type="dxa"/>
                  <w:tcBorders>
                    <w:top w:val="nil"/>
                    <w:left w:val="nil"/>
                    <w:bottom w:val="nil"/>
                    <w:right w:val="nil"/>
                  </w:tcBorders>
                  <w:hideMark/>
                </w:tcPr>
                <w:p w:rsidR="00A02269" w:rsidRPr="00A02269" w:rsidRDefault="00A02269" w:rsidP="00A02269">
                  <w:pPr>
                    <w:spacing w:after="0" w:line="360" w:lineRule="auto"/>
                    <w:contextualSpacing/>
                    <w:jc w:val="center"/>
                    <w:rPr>
                      <w:rFonts w:ascii="Times New Roman" w:eastAsia="Times New Roman" w:hAnsi="Times New Roman"/>
                      <w:sz w:val="24"/>
                      <w:szCs w:val="24"/>
                      <w:lang w:eastAsia="uk-UA"/>
                    </w:rPr>
                  </w:pPr>
                  <w:r w:rsidRPr="00A02269">
                    <w:rPr>
                      <w:rFonts w:ascii="Times New Roman" w:eastAsia="Times New Roman" w:hAnsi="Times New Roman"/>
                      <w:sz w:val="24"/>
                      <w:szCs w:val="24"/>
                      <w:lang w:eastAsia="uk-UA"/>
                    </w:rPr>
                    <w:t>-</w:t>
                  </w:r>
                </w:p>
              </w:tc>
              <w:tc>
                <w:tcPr>
                  <w:tcW w:w="11025"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r w:rsidRPr="00A02269">
                    <w:rPr>
                      <w:rFonts w:ascii="Times New Roman" w:eastAsia="Times New Roman" w:hAnsi="Times New Roman"/>
                      <w:sz w:val="24"/>
                      <w:szCs w:val="24"/>
                      <w:lang w:eastAsia="uk-UA"/>
                    </w:rPr>
                    <w:t>ціна минулого періоду;</w:t>
                  </w:r>
                </w:p>
              </w:tc>
            </w:tr>
            <w:tr w:rsidR="00A02269" w:rsidRPr="00A02269" w:rsidTr="00BA60E3">
              <w:tc>
                <w:tcPr>
                  <w:tcW w:w="390"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p>
              </w:tc>
              <w:tc>
                <w:tcPr>
                  <w:tcW w:w="945"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proofErr w:type="spellStart"/>
                  <w:r w:rsidRPr="00A02269">
                    <w:rPr>
                      <w:rFonts w:ascii="Times New Roman" w:eastAsia="Times New Roman" w:hAnsi="Times New Roman"/>
                      <w:b/>
                      <w:bCs/>
                      <w:sz w:val="24"/>
                      <w:szCs w:val="24"/>
                      <w:lang w:eastAsia="uk-UA"/>
                    </w:rPr>
                    <w:t>k</w:t>
                  </w:r>
                  <w:r w:rsidRPr="00A02269">
                    <w:rPr>
                      <w:rFonts w:ascii="Times New Roman" w:eastAsia="Times New Roman" w:hAnsi="Times New Roman"/>
                      <w:b/>
                      <w:bCs/>
                      <w:sz w:val="16"/>
                      <w:szCs w:val="16"/>
                      <w:vertAlign w:val="subscript"/>
                      <w:lang w:eastAsia="uk-UA"/>
                    </w:rPr>
                    <w:t>i</w:t>
                  </w:r>
                  <w:proofErr w:type="spellEnd"/>
                </w:p>
              </w:tc>
              <w:tc>
                <w:tcPr>
                  <w:tcW w:w="15" w:type="dxa"/>
                  <w:tcBorders>
                    <w:top w:val="nil"/>
                    <w:left w:val="nil"/>
                    <w:bottom w:val="nil"/>
                    <w:right w:val="nil"/>
                  </w:tcBorders>
                  <w:hideMark/>
                </w:tcPr>
                <w:p w:rsidR="00A02269" w:rsidRPr="00A02269" w:rsidRDefault="00A02269" w:rsidP="00A02269">
                  <w:pPr>
                    <w:spacing w:after="0" w:line="360" w:lineRule="auto"/>
                    <w:contextualSpacing/>
                    <w:jc w:val="center"/>
                    <w:rPr>
                      <w:rFonts w:ascii="Times New Roman" w:eastAsia="Times New Roman" w:hAnsi="Times New Roman"/>
                      <w:sz w:val="24"/>
                      <w:szCs w:val="24"/>
                      <w:lang w:eastAsia="uk-UA"/>
                    </w:rPr>
                  </w:pPr>
                  <w:r w:rsidRPr="00A02269">
                    <w:rPr>
                      <w:rFonts w:ascii="Times New Roman" w:eastAsia="Times New Roman" w:hAnsi="Times New Roman"/>
                      <w:sz w:val="24"/>
                      <w:szCs w:val="24"/>
                      <w:lang w:eastAsia="uk-UA"/>
                    </w:rPr>
                    <w:t>-</w:t>
                  </w:r>
                </w:p>
              </w:tc>
              <w:tc>
                <w:tcPr>
                  <w:tcW w:w="11025" w:type="dxa"/>
                  <w:tcBorders>
                    <w:top w:val="nil"/>
                    <w:left w:val="nil"/>
                    <w:bottom w:val="nil"/>
                    <w:right w:val="nil"/>
                  </w:tcBorders>
                  <w:hideMark/>
                </w:tcPr>
                <w:p w:rsidR="00A02269" w:rsidRPr="00A02269" w:rsidRDefault="00A02269" w:rsidP="00A02269">
                  <w:pPr>
                    <w:spacing w:after="0" w:line="360" w:lineRule="auto"/>
                    <w:contextualSpacing/>
                    <w:rPr>
                      <w:rFonts w:ascii="Times New Roman" w:eastAsia="Times New Roman" w:hAnsi="Times New Roman"/>
                      <w:sz w:val="24"/>
                      <w:szCs w:val="24"/>
                      <w:lang w:eastAsia="uk-UA"/>
                    </w:rPr>
                  </w:pPr>
                  <w:r w:rsidRPr="00A02269">
                    <w:rPr>
                      <w:rFonts w:ascii="Times New Roman" w:eastAsia="Times New Roman" w:hAnsi="Times New Roman"/>
                      <w:sz w:val="24"/>
                      <w:szCs w:val="24"/>
                      <w:lang w:eastAsia="uk-UA"/>
                    </w:rPr>
                    <w:t>коефіцієнт індексації.</w:t>
                  </w:r>
                </w:p>
              </w:tc>
            </w:tr>
          </w:tbl>
          <w:p w:rsidR="00A02269" w:rsidRPr="00A02269" w:rsidRDefault="00A02269" w:rsidP="00A02269">
            <w:pPr>
              <w:spacing w:after="0" w:line="360" w:lineRule="auto"/>
              <w:contextualSpacing/>
              <w:jc w:val="both"/>
              <w:rPr>
                <w:rFonts w:ascii="Times New Roman" w:eastAsia="Times New Roman" w:hAnsi="Times New Roman"/>
                <w:b/>
                <w:bCs/>
                <w:sz w:val="24"/>
                <w:szCs w:val="16"/>
                <w:lang w:eastAsia="uk-UA"/>
              </w:rPr>
            </w:pPr>
            <w:proofErr w:type="spellStart"/>
            <w:r w:rsidRPr="00A02269">
              <w:rPr>
                <w:rFonts w:ascii="Times New Roman" w:eastAsia="Times New Roman" w:hAnsi="Times New Roman"/>
                <w:b/>
                <w:bCs/>
                <w:sz w:val="24"/>
                <w:szCs w:val="24"/>
                <w:lang w:eastAsia="uk-UA"/>
              </w:rPr>
              <w:t>Ц</w:t>
            </w:r>
            <w:r w:rsidRPr="00A02269">
              <w:rPr>
                <w:rFonts w:ascii="Times New Roman" w:eastAsia="Times New Roman" w:hAnsi="Times New Roman"/>
                <w:b/>
                <w:bCs/>
                <w:sz w:val="16"/>
                <w:szCs w:val="16"/>
                <w:vertAlign w:val="subscript"/>
                <w:lang w:eastAsia="uk-UA"/>
              </w:rPr>
              <w:t>м.п</w:t>
            </w:r>
            <w:proofErr w:type="spellEnd"/>
            <w:r w:rsidRPr="00A02269">
              <w:rPr>
                <w:rFonts w:ascii="Times New Roman" w:eastAsia="Times New Roman" w:hAnsi="Times New Roman"/>
                <w:b/>
                <w:bCs/>
                <w:sz w:val="16"/>
                <w:szCs w:val="16"/>
                <w:vertAlign w:val="subscript"/>
                <w:lang w:eastAsia="uk-UA"/>
              </w:rPr>
              <w:t xml:space="preserve">  </w:t>
            </w:r>
            <w:r w:rsidRPr="00A02269">
              <w:rPr>
                <w:rFonts w:ascii="Times New Roman" w:eastAsia="Times New Roman" w:hAnsi="Times New Roman"/>
                <w:b/>
                <w:bCs/>
                <w:sz w:val="24"/>
                <w:szCs w:val="16"/>
                <w:lang w:eastAsia="uk-UA"/>
              </w:rPr>
              <w:t xml:space="preserve">= 13570 грн. (сума попереднього договору) / 2260,5 </w:t>
            </w:r>
            <w:proofErr w:type="spellStart"/>
            <w:r w:rsidRPr="00A02269">
              <w:rPr>
                <w:rFonts w:ascii="Times New Roman" w:eastAsia="Times New Roman" w:hAnsi="Times New Roman"/>
                <w:b/>
                <w:bCs/>
                <w:sz w:val="24"/>
                <w:szCs w:val="16"/>
                <w:lang w:eastAsia="uk-UA"/>
              </w:rPr>
              <w:t>кв.м</w:t>
            </w:r>
            <w:proofErr w:type="spellEnd"/>
            <w:r w:rsidRPr="00A02269">
              <w:rPr>
                <w:rFonts w:ascii="Times New Roman" w:eastAsia="Times New Roman" w:hAnsi="Times New Roman"/>
                <w:b/>
                <w:bCs/>
                <w:sz w:val="24"/>
                <w:szCs w:val="16"/>
                <w:lang w:eastAsia="uk-UA"/>
              </w:rPr>
              <w:t xml:space="preserve"> (обсяг)</w:t>
            </w:r>
          </w:p>
          <w:p w:rsidR="00A02269" w:rsidRPr="00A02269" w:rsidRDefault="00A02269" w:rsidP="00A02269">
            <w:pPr>
              <w:spacing w:after="0" w:line="360" w:lineRule="auto"/>
              <w:contextualSpacing/>
              <w:jc w:val="both"/>
              <w:rPr>
                <w:rFonts w:ascii="Times New Roman" w:eastAsia="Times New Roman" w:hAnsi="Times New Roman"/>
                <w:b/>
                <w:bCs/>
                <w:sz w:val="24"/>
                <w:szCs w:val="16"/>
                <w:lang w:eastAsia="uk-UA"/>
              </w:rPr>
            </w:pPr>
            <w:proofErr w:type="spellStart"/>
            <w:r w:rsidRPr="00A02269">
              <w:rPr>
                <w:rFonts w:ascii="Times New Roman" w:eastAsia="Times New Roman" w:hAnsi="Times New Roman"/>
                <w:b/>
                <w:bCs/>
                <w:sz w:val="24"/>
                <w:szCs w:val="24"/>
                <w:lang w:eastAsia="uk-UA"/>
              </w:rPr>
              <w:t>Ц</w:t>
            </w:r>
            <w:r w:rsidRPr="00A02269">
              <w:rPr>
                <w:rFonts w:ascii="Times New Roman" w:eastAsia="Times New Roman" w:hAnsi="Times New Roman"/>
                <w:b/>
                <w:bCs/>
                <w:sz w:val="16"/>
                <w:szCs w:val="16"/>
                <w:vertAlign w:val="subscript"/>
                <w:lang w:eastAsia="uk-UA"/>
              </w:rPr>
              <w:t>м.п</w:t>
            </w:r>
            <w:proofErr w:type="spellEnd"/>
            <w:r w:rsidRPr="00A02269">
              <w:rPr>
                <w:rFonts w:ascii="Times New Roman" w:eastAsia="Times New Roman" w:hAnsi="Times New Roman"/>
                <w:b/>
                <w:bCs/>
                <w:sz w:val="16"/>
                <w:szCs w:val="16"/>
                <w:vertAlign w:val="subscript"/>
                <w:lang w:eastAsia="uk-UA"/>
              </w:rPr>
              <w:t xml:space="preserve">  </w:t>
            </w:r>
            <w:r w:rsidRPr="00A02269">
              <w:rPr>
                <w:rFonts w:ascii="Times New Roman" w:eastAsia="Times New Roman" w:hAnsi="Times New Roman"/>
                <w:b/>
                <w:bCs/>
                <w:sz w:val="24"/>
                <w:szCs w:val="16"/>
                <w:lang w:eastAsia="uk-UA"/>
              </w:rPr>
              <w:t>= 6,00 грн.</w:t>
            </w:r>
          </w:p>
          <w:p w:rsidR="00A02269" w:rsidRPr="00A02269" w:rsidRDefault="00A02269" w:rsidP="00A02269">
            <w:pPr>
              <w:spacing w:after="0" w:line="360" w:lineRule="auto"/>
              <w:contextualSpacing/>
              <w:jc w:val="both"/>
              <w:rPr>
                <w:rFonts w:ascii="Times New Roman" w:eastAsia="Times New Roman" w:hAnsi="Times New Roman"/>
                <w:b/>
                <w:bCs/>
                <w:sz w:val="24"/>
                <w:szCs w:val="16"/>
                <w:lang w:eastAsia="uk-UA"/>
              </w:rPr>
            </w:pPr>
            <w:proofErr w:type="spellStart"/>
            <w:r w:rsidRPr="00A02269">
              <w:rPr>
                <w:rFonts w:ascii="Times New Roman" w:eastAsia="Times New Roman" w:hAnsi="Times New Roman"/>
                <w:b/>
                <w:bCs/>
                <w:sz w:val="24"/>
                <w:szCs w:val="24"/>
                <w:lang w:eastAsia="uk-UA"/>
              </w:rPr>
              <w:t>k</w:t>
            </w:r>
            <w:r w:rsidRPr="00A02269">
              <w:rPr>
                <w:rFonts w:ascii="Times New Roman" w:eastAsia="Times New Roman" w:hAnsi="Times New Roman"/>
                <w:b/>
                <w:bCs/>
                <w:sz w:val="16"/>
                <w:szCs w:val="16"/>
                <w:vertAlign w:val="subscript"/>
                <w:lang w:eastAsia="uk-UA"/>
              </w:rPr>
              <w:t>i</w:t>
            </w:r>
            <w:proofErr w:type="spellEnd"/>
            <w:r w:rsidRPr="00A02269">
              <w:rPr>
                <w:rFonts w:ascii="Times New Roman" w:eastAsia="Times New Roman" w:hAnsi="Times New Roman"/>
                <w:b/>
                <w:bCs/>
                <w:sz w:val="16"/>
                <w:szCs w:val="16"/>
                <w:vertAlign w:val="subscript"/>
                <w:lang w:eastAsia="uk-UA"/>
              </w:rPr>
              <w:t xml:space="preserve"> </w:t>
            </w:r>
            <w:r w:rsidRPr="00A02269">
              <w:rPr>
                <w:rFonts w:ascii="Times New Roman" w:eastAsia="Times New Roman" w:hAnsi="Times New Roman"/>
                <w:b/>
                <w:bCs/>
                <w:sz w:val="24"/>
                <w:szCs w:val="16"/>
                <w:lang w:eastAsia="uk-UA"/>
              </w:rPr>
              <w:t xml:space="preserve">= 108.4% ( дані з Державної служби статистики </w:t>
            </w:r>
            <w:hyperlink r:id="rId6" w:history="1">
              <w:r w:rsidRPr="00A02269">
                <w:rPr>
                  <w:rFonts w:ascii="Times New Roman" w:eastAsia="Times New Roman" w:hAnsi="Times New Roman"/>
                  <w:b/>
                  <w:bCs/>
                  <w:color w:val="0000FF" w:themeColor="hyperlink"/>
                  <w:sz w:val="24"/>
                  <w:szCs w:val="16"/>
                  <w:u w:val="single"/>
                  <w:lang w:eastAsia="uk-UA"/>
                </w:rPr>
                <w:t>http://database.ukrcensus.gov.ua/</w:t>
              </w:r>
            </w:hyperlink>
            <w:r w:rsidRPr="00A02269">
              <w:rPr>
                <w:rFonts w:ascii="Times New Roman" w:eastAsia="Times New Roman" w:hAnsi="Times New Roman"/>
                <w:b/>
                <w:bCs/>
                <w:sz w:val="24"/>
                <w:szCs w:val="16"/>
                <w:lang w:eastAsia="uk-UA"/>
              </w:rPr>
              <w:t>)</w:t>
            </w:r>
          </w:p>
          <w:p w:rsidR="00A02269" w:rsidRPr="00A02269" w:rsidRDefault="00A02269" w:rsidP="00A02269">
            <w:pPr>
              <w:shd w:val="clear" w:color="auto" w:fill="FFFFFF"/>
              <w:spacing w:after="0" w:line="360" w:lineRule="auto"/>
              <w:contextualSpacing/>
              <w:rPr>
                <w:rFonts w:ascii="Times New Roman" w:eastAsia="Times New Roman" w:hAnsi="Times New Roman"/>
                <w:b/>
                <w:bCs/>
                <w:color w:val="333333"/>
                <w:sz w:val="24"/>
                <w:szCs w:val="24"/>
                <w:lang w:eastAsia="uk-UA"/>
              </w:rPr>
            </w:pPr>
            <w:r w:rsidRPr="00A02269">
              <w:rPr>
                <w:rFonts w:ascii="Times New Roman" w:eastAsia="Times New Roman" w:hAnsi="Times New Roman"/>
                <w:b/>
                <w:bCs/>
                <w:sz w:val="24"/>
                <w:szCs w:val="16"/>
                <w:lang w:eastAsia="uk-UA"/>
              </w:rPr>
              <w:t xml:space="preserve">Отже,  </w:t>
            </w:r>
            <w:r w:rsidRPr="00A02269">
              <w:rPr>
                <w:rFonts w:ascii="Times New Roman" w:eastAsia="Times New Roman" w:hAnsi="Times New Roman"/>
                <w:b/>
                <w:bCs/>
                <w:color w:val="333333"/>
                <w:sz w:val="24"/>
                <w:szCs w:val="24"/>
                <w:lang w:eastAsia="uk-UA"/>
              </w:rPr>
              <w:t>ОВ</w:t>
            </w:r>
            <w:r w:rsidRPr="00A02269">
              <w:rPr>
                <w:rFonts w:ascii="Times New Roman" w:eastAsia="Times New Roman" w:hAnsi="Times New Roman"/>
                <w:b/>
                <w:bCs/>
                <w:color w:val="333333"/>
                <w:sz w:val="16"/>
                <w:szCs w:val="16"/>
                <w:vertAlign w:val="superscript"/>
                <w:lang w:eastAsia="uk-UA"/>
              </w:rPr>
              <w:t> i</w:t>
            </w:r>
            <w:r w:rsidRPr="00A02269">
              <w:rPr>
                <w:rFonts w:ascii="Times New Roman" w:eastAsia="Times New Roman" w:hAnsi="Times New Roman"/>
                <w:color w:val="333333"/>
                <w:sz w:val="24"/>
                <w:szCs w:val="24"/>
                <w:lang w:eastAsia="uk-UA"/>
              </w:rPr>
              <w:t> </w:t>
            </w:r>
            <w:r w:rsidRPr="00A02269">
              <w:rPr>
                <w:rFonts w:ascii="Times New Roman" w:eastAsia="Times New Roman" w:hAnsi="Times New Roman"/>
                <w:b/>
                <w:bCs/>
                <w:color w:val="333333"/>
                <w:sz w:val="24"/>
                <w:szCs w:val="24"/>
                <w:lang w:eastAsia="uk-UA"/>
              </w:rPr>
              <w:t>= 2160 * 6,00 *1,084</w:t>
            </w:r>
          </w:p>
          <w:p w:rsidR="00A02269" w:rsidRPr="00A02269" w:rsidRDefault="00A02269" w:rsidP="00A02269">
            <w:pPr>
              <w:shd w:val="clear" w:color="auto" w:fill="FFFFFF"/>
              <w:spacing w:after="0" w:line="360" w:lineRule="auto"/>
              <w:contextualSpacing/>
              <w:rPr>
                <w:rFonts w:ascii="Times New Roman" w:eastAsia="Times New Roman" w:hAnsi="Times New Roman"/>
                <w:color w:val="333333"/>
                <w:sz w:val="24"/>
                <w:szCs w:val="24"/>
                <w:lang w:eastAsia="uk-UA"/>
              </w:rPr>
            </w:pPr>
            <w:r w:rsidRPr="00A02269">
              <w:rPr>
                <w:rFonts w:ascii="Times New Roman" w:eastAsia="Times New Roman" w:hAnsi="Times New Roman"/>
                <w:b/>
                <w:bCs/>
                <w:color w:val="333333"/>
                <w:sz w:val="24"/>
                <w:szCs w:val="24"/>
                <w:lang w:eastAsia="uk-UA"/>
              </w:rPr>
              <w:t>ОВ</w:t>
            </w:r>
            <w:r w:rsidRPr="00A02269">
              <w:rPr>
                <w:rFonts w:ascii="Times New Roman" w:eastAsia="Times New Roman" w:hAnsi="Times New Roman"/>
                <w:b/>
                <w:bCs/>
                <w:color w:val="333333"/>
                <w:sz w:val="16"/>
                <w:szCs w:val="16"/>
                <w:vertAlign w:val="superscript"/>
                <w:lang w:eastAsia="uk-UA"/>
              </w:rPr>
              <w:t> i</w:t>
            </w:r>
            <w:r w:rsidRPr="00A02269">
              <w:rPr>
                <w:rFonts w:ascii="Times New Roman" w:eastAsia="Times New Roman" w:hAnsi="Times New Roman"/>
                <w:color w:val="333333"/>
                <w:sz w:val="24"/>
                <w:szCs w:val="24"/>
                <w:lang w:eastAsia="uk-UA"/>
              </w:rPr>
              <w:t> </w:t>
            </w:r>
            <w:r w:rsidRPr="00A02269">
              <w:rPr>
                <w:rFonts w:ascii="Times New Roman" w:eastAsia="Times New Roman" w:hAnsi="Times New Roman"/>
                <w:b/>
                <w:bCs/>
                <w:color w:val="333333"/>
                <w:sz w:val="24"/>
                <w:szCs w:val="24"/>
                <w:lang w:eastAsia="uk-UA"/>
              </w:rPr>
              <w:t>= 14 048,64 грн.</w:t>
            </w:r>
          </w:p>
          <w:p w:rsidR="005037E2" w:rsidRPr="00A02269" w:rsidRDefault="005037E2" w:rsidP="002C189F">
            <w:pPr>
              <w:shd w:val="clear" w:color="auto" w:fill="FFFFFF"/>
              <w:spacing w:after="120"/>
              <w:ind w:firstLine="170"/>
              <w:jc w:val="both"/>
              <w:rPr>
                <w:rFonts w:ascii="Times New Roman" w:eastAsia="Times New Roman" w:hAnsi="Times New Roman"/>
                <w:color w:val="333333"/>
                <w:sz w:val="24"/>
                <w:szCs w:val="24"/>
                <w:lang w:eastAsia="uk-UA"/>
              </w:rPr>
            </w:pPr>
            <w:bookmarkStart w:id="2" w:name="_GoBack"/>
            <w:bookmarkEnd w:id="2"/>
          </w:p>
        </w:tc>
      </w:tr>
    </w:tbl>
    <w:p w:rsidR="005037E2" w:rsidRDefault="005037E2" w:rsidP="005037E2"/>
    <w:p w:rsidR="005037E2" w:rsidRPr="0002035B" w:rsidRDefault="005037E2" w:rsidP="005037E2"/>
    <w:p w:rsidR="00E03F72" w:rsidRDefault="00E03F72"/>
    <w:sectPr w:rsidR="00E03F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B18"/>
    <w:multiLevelType w:val="multilevel"/>
    <w:tmpl w:val="CF8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615F7"/>
    <w:multiLevelType w:val="multilevel"/>
    <w:tmpl w:val="B97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11A13"/>
    <w:multiLevelType w:val="multilevel"/>
    <w:tmpl w:val="F4B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82405"/>
    <w:multiLevelType w:val="multilevel"/>
    <w:tmpl w:val="3368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361FF"/>
    <w:multiLevelType w:val="multilevel"/>
    <w:tmpl w:val="7E42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9099F"/>
    <w:multiLevelType w:val="multilevel"/>
    <w:tmpl w:val="801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D1DBD"/>
    <w:multiLevelType w:val="multilevel"/>
    <w:tmpl w:val="0244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550FE"/>
    <w:multiLevelType w:val="multilevel"/>
    <w:tmpl w:val="DE12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5A5EC3"/>
    <w:multiLevelType w:val="multilevel"/>
    <w:tmpl w:val="50C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AA73DE"/>
    <w:multiLevelType w:val="multilevel"/>
    <w:tmpl w:val="D1B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3651EB"/>
    <w:multiLevelType w:val="multilevel"/>
    <w:tmpl w:val="C3E2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3C7D53"/>
    <w:multiLevelType w:val="multilevel"/>
    <w:tmpl w:val="6C18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487A7B"/>
    <w:multiLevelType w:val="multilevel"/>
    <w:tmpl w:val="1E90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E85E93"/>
    <w:multiLevelType w:val="multilevel"/>
    <w:tmpl w:val="E26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276237"/>
    <w:multiLevelType w:val="multilevel"/>
    <w:tmpl w:val="3B74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87476A"/>
    <w:multiLevelType w:val="multilevel"/>
    <w:tmpl w:val="D79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FE16AC"/>
    <w:multiLevelType w:val="multilevel"/>
    <w:tmpl w:val="0512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900D8A"/>
    <w:multiLevelType w:val="multilevel"/>
    <w:tmpl w:val="241477D8"/>
    <w:lvl w:ilvl="0">
      <w:start w:val="1"/>
      <w:numFmt w:val="decimal"/>
      <w:lvlText w:val="%1"/>
      <w:lvlJc w:val="left"/>
      <w:pPr>
        <w:ind w:left="360" w:hanging="360"/>
      </w:pPr>
      <w:rPr>
        <w:rFonts w:eastAsia="Times New Roman" w:hint="default"/>
        <w:color w:val="000000"/>
        <w:sz w:val="24"/>
      </w:rPr>
    </w:lvl>
    <w:lvl w:ilvl="1">
      <w:start w:val="1"/>
      <w:numFmt w:val="decimal"/>
      <w:lvlText w:val="%1.%2"/>
      <w:lvlJc w:val="left"/>
      <w:pPr>
        <w:ind w:left="1080" w:hanging="360"/>
      </w:pPr>
      <w:rPr>
        <w:rFonts w:eastAsia="Times New Roman" w:hint="default"/>
        <w:color w:val="000000"/>
        <w:sz w:val="24"/>
      </w:rPr>
    </w:lvl>
    <w:lvl w:ilvl="2">
      <w:start w:val="1"/>
      <w:numFmt w:val="decimal"/>
      <w:lvlText w:val="%1.%2.%3"/>
      <w:lvlJc w:val="left"/>
      <w:pPr>
        <w:ind w:left="2160" w:hanging="720"/>
      </w:pPr>
      <w:rPr>
        <w:rFonts w:eastAsia="Times New Roman" w:hint="default"/>
        <w:color w:val="000000"/>
        <w:sz w:val="24"/>
      </w:rPr>
    </w:lvl>
    <w:lvl w:ilvl="3">
      <w:start w:val="1"/>
      <w:numFmt w:val="decimal"/>
      <w:lvlText w:val="%1.%2.%3.%4"/>
      <w:lvlJc w:val="left"/>
      <w:pPr>
        <w:ind w:left="2880" w:hanging="720"/>
      </w:pPr>
      <w:rPr>
        <w:rFonts w:eastAsia="Times New Roman" w:hint="default"/>
        <w:color w:val="000000"/>
        <w:sz w:val="24"/>
      </w:rPr>
    </w:lvl>
    <w:lvl w:ilvl="4">
      <w:start w:val="1"/>
      <w:numFmt w:val="decimal"/>
      <w:lvlText w:val="%1.%2.%3.%4.%5"/>
      <w:lvlJc w:val="left"/>
      <w:pPr>
        <w:ind w:left="3960" w:hanging="1080"/>
      </w:pPr>
      <w:rPr>
        <w:rFonts w:eastAsia="Times New Roman" w:hint="default"/>
        <w:color w:val="000000"/>
        <w:sz w:val="24"/>
      </w:rPr>
    </w:lvl>
    <w:lvl w:ilvl="5">
      <w:start w:val="1"/>
      <w:numFmt w:val="decimal"/>
      <w:lvlText w:val="%1.%2.%3.%4.%5.%6"/>
      <w:lvlJc w:val="left"/>
      <w:pPr>
        <w:ind w:left="4680" w:hanging="1080"/>
      </w:pPr>
      <w:rPr>
        <w:rFonts w:eastAsia="Times New Roman" w:hint="default"/>
        <w:color w:val="000000"/>
        <w:sz w:val="24"/>
      </w:rPr>
    </w:lvl>
    <w:lvl w:ilvl="6">
      <w:start w:val="1"/>
      <w:numFmt w:val="decimal"/>
      <w:lvlText w:val="%1.%2.%3.%4.%5.%6.%7"/>
      <w:lvlJc w:val="left"/>
      <w:pPr>
        <w:ind w:left="5760" w:hanging="1440"/>
      </w:pPr>
      <w:rPr>
        <w:rFonts w:eastAsia="Times New Roman" w:hint="default"/>
        <w:color w:val="000000"/>
        <w:sz w:val="24"/>
      </w:rPr>
    </w:lvl>
    <w:lvl w:ilvl="7">
      <w:start w:val="1"/>
      <w:numFmt w:val="decimal"/>
      <w:lvlText w:val="%1.%2.%3.%4.%5.%6.%7.%8"/>
      <w:lvlJc w:val="left"/>
      <w:pPr>
        <w:ind w:left="6480" w:hanging="1440"/>
      </w:pPr>
      <w:rPr>
        <w:rFonts w:eastAsia="Times New Roman" w:hint="default"/>
        <w:color w:val="000000"/>
        <w:sz w:val="24"/>
      </w:rPr>
    </w:lvl>
    <w:lvl w:ilvl="8">
      <w:start w:val="1"/>
      <w:numFmt w:val="decimal"/>
      <w:lvlText w:val="%1.%2.%3.%4.%5.%6.%7.%8.%9"/>
      <w:lvlJc w:val="left"/>
      <w:pPr>
        <w:ind w:left="7200" w:hanging="1440"/>
      </w:pPr>
      <w:rPr>
        <w:rFonts w:eastAsia="Times New Roman" w:hint="default"/>
        <w:color w:val="000000"/>
        <w:sz w:val="24"/>
      </w:rPr>
    </w:lvl>
  </w:abstractNum>
  <w:abstractNum w:abstractNumId="18">
    <w:nsid w:val="4E7478EE"/>
    <w:multiLevelType w:val="multilevel"/>
    <w:tmpl w:val="4660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4A78A3"/>
    <w:multiLevelType w:val="multilevel"/>
    <w:tmpl w:val="C8B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892B55"/>
    <w:multiLevelType w:val="multilevel"/>
    <w:tmpl w:val="436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0F3F4A"/>
    <w:multiLevelType w:val="multilevel"/>
    <w:tmpl w:val="55A8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85666B"/>
    <w:multiLevelType w:val="multilevel"/>
    <w:tmpl w:val="D04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131A03"/>
    <w:multiLevelType w:val="multilevel"/>
    <w:tmpl w:val="31A8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EF693A"/>
    <w:multiLevelType w:val="multilevel"/>
    <w:tmpl w:val="59DC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F936CE"/>
    <w:multiLevelType w:val="multilevel"/>
    <w:tmpl w:val="6FB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E81629"/>
    <w:multiLevelType w:val="multilevel"/>
    <w:tmpl w:val="D2B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1A754A"/>
    <w:multiLevelType w:val="multilevel"/>
    <w:tmpl w:val="C526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22"/>
  </w:num>
  <w:num w:numId="4">
    <w:abstractNumId w:val="19"/>
  </w:num>
  <w:num w:numId="5">
    <w:abstractNumId w:val="7"/>
  </w:num>
  <w:num w:numId="6">
    <w:abstractNumId w:val="20"/>
  </w:num>
  <w:num w:numId="7">
    <w:abstractNumId w:val="2"/>
  </w:num>
  <w:num w:numId="8">
    <w:abstractNumId w:val="24"/>
  </w:num>
  <w:num w:numId="9">
    <w:abstractNumId w:val="3"/>
  </w:num>
  <w:num w:numId="10">
    <w:abstractNumId w:val="4"/>
  </w:num>
  <w:num w:numId="11">
    <w:abstractNumId w:val="13"/>
  </w:num>
  <w:num w:numId="12">
    <w:abstractNumId w:val="12"/>
  </w:num>
  <w:num w:numId="13">
    <w:abstractNumId w:val="16"/>
  </w:num>
  <w:num w:numId="14">
    <w:abstractNumId w:val="14"/>
  </w:num>
  <w:num w:numId="15">
    <w:abstractNumId w:val="23"/>
  </w:num>
  <w:num w:numId="16">
    <w:abstractNumId w:val="25"/>
  </w:num>
  <w:num w:numId="17">
    <w:abstractNumId w:val="27"/>
  </w:num>
  <w:num w:numId="18">
    <w:abstractNumId w:val="5"/>
  </w:num>
  <w:num w:numId="19">
    <w:abstractNumId w:val="26"/>
  </w:num>
  <w:num w:numId="20">
    <w:abstractNumId w:val="1"/>
  </w:num>
  <w:num w:numId="21">
    <w:abstractNumId w:val="11"/>
  </w:num>
  <w:num w:numId="22">
    <w:abstractNumId w:val="0"/>
  </w:num>
  <w:num w:numId="23">
    <w:abstractNumId w:val="9"/>
  </w:num>
  <w:num w:numId="24">
    <w:abstractNumId w:val="8"/>
  </w:num>
  <w:num w:numId="25">
    <w:abstractNumId w:val="6"/>
  </w:num>
  <w:num w:numId="26">
    <w:abstractNumId w:val="10"/>
  </w:num>
  <w:num w:numId="27">
    <w:abstractNumId w:val="2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75"/>
    <w:rsid w:val="000B6A75"/>
    <w:rsid w:val="000F14C6"/>
    <w:rsid w:val="00242E00"/>
    <w:rsid w:val="002C189F"/>
    <w:rsid w:val="005037E2"/>
    <w:rsid w:val="008B7C50"/>
    <w:rsid w:val="00A02269"/>
    <w:rsid w:val="00AC1167"/>
    <w:rsid w:val="00E03F72"/>
    <w:rsid w:val="00E04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E2"/>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E2"/>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270">
      <w:bodyDiv w:val="1"/>
      <w:marLeft w:val="0"/>
      <w:marRight w:val="0"/>
      <w:marTop w:val="0"/>
      <w:marBottom w:val="0"/>
      <w:divBdr>
        <w:top w:val="none" w:sz="0" w:space="0" w:color="auto"/>
        <w:left w:val="none" w:sz="0" w:space="0" w:color="auto"/>
        <w:bottom w:val="none" w:sz="0" w:space="0" w:color="auto"/>
        <w:right w:val="none" w:sz="0" w:space="0" w:color="auto"/>
      </w:divBdr>
    </w:div>
    <w:div w:id="966006882">
      <w:bodyDiv w:val="1"/>
      <w:marLeft w:val="0"/>
      <w:marRight w:val="0"/>
      <w:marTop w:val="0"/>
      <w:marBottom w:val="0"/>
      <w:divBdr>
        <w:top w:val="none" w:sz="0" w:space="0" w:color="auto"/>
        <w:left w:val="none" w:sz="0" w:space="0" w:color="auto"/>
        <w:bottom w:val="none" w:sz="0" w:space="0" w:color="auto"/>
        <w:right w:val="none" w:sz="0" w:space="0" w:color="auto"/>
      </w:divBdr>
    </w:div>
    <w:div w:id="19184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tabase.ukrcensus.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5582</Words>
  <Characters>3182</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2021-05-27T07:33:00Z</dcterms:created>
  <dcterms:modified xsi:type="dcterms:W3CDTF">2021-06-14T12:31:00Z</dcterms:modified>
</cp:coreProperties>
</file>