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B2" w:rsidRPr="00204038" w:rsidRDefault="007922B2" w:rsidP="007922B2">
      <w:pPr>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7922B2" w:rsidRPr="00204038" w:rsidRDefault="007922B2" w:rsidP="007922B2">
      <w:pPr>
        <w:spacing w:after="120"/>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7922B2" w:rsidRPr="0089282F" w:rsidRDefault="007922B2" w:rsidP="00A401F2">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7922B2" w:rsidRPr="007922B2" w:rsidRDefault="007922B2" w:rsidP="007922B2">
            <w:pPr>
              <w:shd w:val="clear" w:color="auto" w:fill="FFFFFF"/>
              <w:spacing w:after="120"/>
              <w:ind w:firstLine="170"/>
              <w:jc w:val="both"/>
              <w:rPr>
                <w:rFonts w:ascii="Times New Roman" w:eastAsia="Times New Roman" w:hAnsi="Times New Roman"/>
                <w:bCs/>
                <w:kern w:val="36"/>
                <w:sz w:val="24"/>
                <w:szCs w:val="24"/>
                <w:lang w:eastAsia="uk-UA"/>
              </w:rPr>
            </w:pPr>
            <w:r w:rsidRPr="007922B2">
              <w:rPr>
                <w:rFonts w:ascii="Times New Roman" w:eastAsia="Times New Roman" w:hAnsi="Times New Roman"/>
                <w:bCs/>
                <w:kern w:val="36"/>
                <w:sz w:val="24"/>
                <w:szCs w:val="24"/>
                <w:lang w:eastAsia="uk-UA"/>
              </w:rPr>
              <w:t>Електрична енергія ДК 021:2015:09310000-5: (Електрична енергія). Лот1 Електрична енергія для навчальних корпусів університету ДК 021:2015:09310000-5: (Електрична енергія). Лот 2 Електрична енергія для гуртожитків університету(побутові споживачі) ДК 021:2015:09310000-5: (Електрична енергія)</w:t>
            </w: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7922B2" w:rsidRPr="0089282F" w:rsidRDefault="007922B2" w:rsidP="00A401F2">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7922B2" w:rsidRDefault="007922B2" w:rsidP="00A401F2">
            <w:pPr>
              <w:rPr>
                <w:rFonts w:ascii="Times New Roman" w:hAnsi="Times New Roman"/>
                <w:sz w:val="24"/>
                <w:szCs w:val="24"/>
              </w:rPr>
            </w:pPr>
            <w:r>
              <w:rPr>
                <w:rFonts w:ascii="Times New Roman" w:hAnsi="Times New Roman"/>
                <w:sz w:val="24"/>
                <w:szCs w:val="24"/>
              </w:rPr>
              <w:t>Спрощена закупівля</w:t>
            </w:r>
          </w:p>
          <w:p w:rsidR="007922B2" w:rsidRPr="00A93408" w:rsidRDefault="007922B2" w:rsidP="00A401F2">
            <w:pPr>
              <w:spacing w:line="207" w:lineRule="atLeast"/>
              <w:rPr>
                <w:rFonts w:ascii="Times New Roman" w:eastAsia="Times New Roman" w:hAnsi="Times New Roman"/>
                <w:sz w:val="24"/>
                <w:szCs w:val="24"/>
                <w:lang w:eastAsia="uk-UA"/>
              </w:rPr>
            </w:pP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7922B2" w:rsidRPr="0089282F" w:rsidRDefault="007922B2" w:rsidP="00A401F2">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7922B2" w:rsidRPr="007922B2" w:rsidRDefault="007922B2" w:rsidP="00A401F2">
            <w:pPr>
              <w:rPr>
                <w:rFonts w:ascii="Times New Roman" w:hAnsi="Times New Roman"/>
                <w:sz w:val="24"/>
                <w:szCs w:val="24"/>
              </w:rPr>
            </w:pPr>
            <w:r w:rsidRPr="007922B2">
              <w:rPr>
                <w:rFonts w:ascii="Times New Roman" w:hAnsi="Times New Roman"/>
                <w:bCs/>
                <w:sz w:val="24"/>
                <w:szCs w:val="24"/>
                <w:shd w:val="clear" w:color="auto" w:fill="FFFFFF"/>
              </w:rPr>
              <w:t>UA-2020-12-16-000341-a</w:t>
            </w: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7922B2" w:rsidRPr="0089282F" w:rsidRDefault="007922B2" w:rsidP="00A401F2">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7922B2" w:rsidRPr="00593133" w:rsidRDefault="007922B2" w:rsidP="00A401F2">
            <w:pPr>
              <w:ind w:firstLine="709"/>
              <w:jc w:val="both"/>
              <w:rPr>
                <w:rFonts w:ascii="Times New Roman" w:hAnsi="Times New Roman"/>
                <w:sz w:val="24"/>
              </w:rPr>
            </w:pPr>
            <w:r w:rsidRPr="00593133">
              <w:rPr>
                <w:rFonts w:ascii="Times New Roman" w:hAnsi="Times New Roman"/>
                <w:sz w:val="24"/>
              </w:rPr>
              <w:t xml:space="preserve">Для забезпечення безперервного надання послуг з постачання електричної енергії Споживачу Постачальник </w:t>
            </w:r>
            <w:r>
              <w:rPr>
                <w:rFonts w:ascii="Times New Roman" w:hAnsi="Times New Roman"/>
                <w:sz w:val="24"/>
              </w:rPr>
              <w:t>повинен</w:t>
            </w:r>
            <w:r w:rsidRPr="00593133">
              <w:rPr>
                <w:rFonts w:ascii="Times New Roman" w:hAnsi="Times New Roman"/>
                <w:sz w:val="24"/>
              </w:rPr>
              <w:t xml:space="preserve">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7922B2" w:rsidRPr="00593133" w:rsidRDefault="007922B2" w:rsidP="00A401F2">
            <w:pPr>
              <w:jc w:val="both"/>
              <w:rPr>
                <w:rFonts w:ascii="Times New Roman" w:hAnsi="Times New Roman"/>
                <w:sz w:val="24"/>
              </w:rPr>
            </w:pPr>
            <w:r>
              <w:rPr>
                <w:rFonts w:ascii="Times New Roman" w:hAnsi="Times New Roman"/>
                <w:sz w:val="24"/>
              </w:rPr>
              <w:t xml:space="preserve">          </w:t>
            </w:r>
            <w:r w:rsidRPr="00593133">
              <w:rPr>
                <w:rFonts w:ascii="Times New Roman" w:hAnsi="Times New Roman"/>
                <w:sz w:val="24"/>
              </w:rPr>
              <w:t xml:space="preserve"> Постачальник </w:t>
            </w:r>
            <w:r>
              <w:rPr>
                <w:rFonts w:ascii="Times New Roman" w:hAnsi="Times New Roman"/>
                <w:sz w:val="24"/>
              </w:rPr>
              <w:t>повинен</w:t>
            </w:r>
            <w:r w:rsidRPr="00593133">
              <w:rPr>
                <w:rFonts w:ascii="Times New Roman" w:hAnsi="Times New Roman"/>
                <w:sz w:val="24"/>
              </w:rPr>
              <w:t xml:space="preserve">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7922B2" w:rsidRPr="000F15CA" w:rsidRDefault="007922B2" w:rsidP="00A401F2">
            <w:pPr>
              <w:jc w:val="both"/>
              <w:rPr>
                <w:b/>
                <w:sz w:val="24"/>
                <w:szCs w:val="24"/>
              </w:rPr>
            </w:pPr>
            <w:r>
              <w:rPr>
                <w:rFonts w:ascii="Times New Roman" w:hAnsi="Times New Roman"/>
                <w:sz w:val="24"/>
              </w:rPr>
              <w:t xml:space="preserve">        </w:t>
            </w:r>
            <w:r w:rsidRPr="00593133">
              <w:rPr>
                <w:rFonts w:ascii="Times New Roman" w:hAnsi="Times New Roman"/>
                <w:sz w:val="24"/>
              </w:rPr>
              <w:t xml:space="preserve"> Споживач має право на отримання компенсації за недотримання показників комерційної якості послуг Постачальником. Постачальник </w:t>
            </w:r>
            <w:r>
              <w:rPr>
                <w:rFonts w:ascii="Times New Roman" w:hAnsi="Times New Roman"/>
                <w:sz w:val="24"/>
              </w:rPr>
              <w:t>повинен</w:t>
            </w:r>
            <w:r w:rsidRPr="00593133">
              <w:rPr>
                <w:rFonts w:ascii="Times New Roman" w:hAnsi="Times New Roman"/>
                <w:sz w:val="24"/>
              </w:rPr>
              <w:t xml:space="preserve">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5</w:t>
            </w:r>
          </w:p>
        </w:tc>
        <w:tc>
          <w:tcPr>
            <w:tcW w:w="3210" w:type="dxa"/>
            <w:shd w:val="clear" w:color="auto" w:fill="auto"/>
          </w:tcPr>
          <w:p w:rsidR="007922B2" w:rsidRPr="0089282F" w:rsidRDefault="007922B2" w:rsidP="00A401F2">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7922B2" w:rsidRDefault="007922B2" w:rsidP="00A401F2">
            <w:pPr>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 2020</w:t>
            </w:r>
            <w:r w:rsidRPr="000F15CA">
              <w:rPr>
                <w:rFonts w:ascii="Times New Roman" w:eastAsia="Times New Roman" w:hAnsi="Times New Roman"/>
                <w:sz w:val="24"/>
                <w:szCs w:val="24"/>
                <w:lang w:eastAsia="ru-RU"/>
              </w:rPr>
              <w:t xml:space="preserve"> рік</w:t>
            </w:r>
            <w:r>
              <w:rPr>
                <w:rFonts w:ascii="Times New Roman" w:eastAsia="Times New Roman" w:hAnsi="Times New Roman"/>
                <w:sz w:val="24"/>
                <w:szCs w:val="24"/>
                <w:lang w:eastAsia="ru-RU"/>
              </w:rPr>
              <w:t xml:space="preserve"> і складає </w:t>
            </w:r>
          </w:p>
          <w:p w:rsidR="007922B2" w:rsidRPr="00E31A28" w:rsidRDefault="007922B2" w:rsidP="00A401F2">
            <w:pPr>
              <w:jc w:val="both"/>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199 800</w:t>
            </w:r>
            <w:r w:rsidRPr="00B50F1D">
              <w:rPr>
                <w:rFonts w:ascii="Times New Roman" w:eastAsia="Times New Roman" w:hAnsi="Times New Roman"/>
                <w:b/>
                <w:bCs/>
                <w:color w:val="333333"/>
                <w:sz w:val="24"/>
                <w:szCs w:val="24"/>
                <w:lang w:eastAsia="uk-UA"/>
              </w:rPr>
              <w:t xml:space="preserve"> грн</w:t>
            </w: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7922B2" w:rsidRPr="0089282F" w:rsidRDefault="007922B2" w:rsidP="00A401F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7922B2" w:rsidRPr="00B50F1D" w:rsidRDefault="007922B2" w:rsidP="007922B2">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166 500,00</w:t>
            </w:r>
            <w:r w:rsidRPr="00B50F1D">
              <w:rPr>
                <w:rFonts w:ascii="Times New Roman" w:eastAsia="Times New Roman" w:hAnsi="Times New Roman"/>
                <w:b/>
                <w:bCs/>
                <w:color w:val="333333"/>
                <w:sz w:val="24"/>
                <w:szCs w:val="24"/>
                <w:lang w:eastAsia="uk-UA"/>
              </w:rPr>
              <w:t xml:space="preserve"> грн</w:t>
            </w:r>
            <w:r w:rsidRPr="00B50F1D">
              <w:rPr>
                <w:rFonts w:ascii="Times New Roman" w:hAnsi="Times New Roman"/>
                <w:sz w:val="24"/>
                <w:szCs w:val="24"/>
              </w:rPr>
              <w:t xml:space="preserve"> без ПДВ та відповідно </w:t>
            </w:r>
            <w:r>
              <w:rPr>
                <w:rFonts w:ascii="Times New Roman" w:eastAsia="Times New Roman" w:hAnsi="Times New Roman"/>
                <w:b/>
                <w:bCs/>
                <w:color w:val="333333"/>
                <w:sz w:val="24"/>
                <w:szCs w:val="24"/>
                <w:lang w:eastAsia="uk-UA"/>
              </w:rPr>
              <w:t>199 800,00</w:t>
            </w:r>
            <w:r w:rsidRPr="00B50F1D">
              <w:rPr>
                <w:rFonts w:ascii="Times New Roman" w:eastAsia="Times New Roman" w:hAnsi="Times New Roman"/>
                <w:b/>
                <w:bCs/>
                <w:color w:val="333333"/>
                <w:sz w:val="24"/>
                <w:szCs w:val="24"/>
                <w:lang w:eastAsia="uk-UA"/>
              </w:rPr>
              <w:t xml:space="preserve"> грн</w:t>
            </w:r>
            <w:r w:rsidRPr="00B50F1D">
              <w:rPr>
                <w:rFonts w:ascii="Times New Roman" w:hAnsi="Times New Roman"/>
                <w:sz w:val="24"/>
                <w:szCs w:val="24"/>
              </w:rPr>
              <w:t xml:space="preserve"> з ПДВ</w:t>
            </w:r>
          </w:p>
        </w:tc>
      </w:tr>
      <w:tr w:rsidR="007922B2" w:rsidRPr="0089282F" w:rsidTr="00A401F2">
        <w:tc>
          <w:tcPr>
            <w:tcW w:w="421" w:type="dxa"/>
            <w:shd w:val="clear" w:color="auto" w:fill="auto"/>
          </w:tcPr>
          <w:p w:rsidR="007922B2" w:rsidRPr="0089282F" w:rsidRDefault="007922B2" w:rsidP="00A401F2">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7922B2" w:rsidRPr="0089282F" w:rsidRDefault="007922B2" w:rsidP="00A401F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7922B2" w:rsidRPr="00506AF4" w:rsidRDefault="007922B2" w:rsidP="00A401F2">
            <w:pPr>
              <w:spacing w:after="120"/>
              <w:ind w:firstLine="170"/>
              <w:jc w:val="both"/>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О</w:t>
            </w:r>
            <w:r w:rsidRPr="004B55A6">
              <w:rPr>
                <w:rFonts w:ascii="Times New Roman" w:eastAsia="Times New Roman" w:hAnsi="Times New Roman"/>
                <w:sz w:val="24"/>
                <w:szCs w:val="24"/>
                <w:lang w:eastAsia="uk-UA"/>
              </w:rPr>
              <w:t>чікуван</w:t>
            </w:r>
            <w:r>
              <w:rPr>
                <w:rFonts w:ascii="Times New Roman" w:eastAsia="Times New Roman" w:hAnsi="Times New Roman"/>
                <w:sz w:val="24"/>
                <w:szCs w:val="24"/>
                <w:lang w:eastAsia="uk-UA"/>
              </w:rPr>
              <w:t>а</w:t>
            </w:r>
            <w:r w:rsidRPr="004B55A6">
              <w:rPr>
                <w:rFonts w:ascii="Times New Roman" w:eastAsia="Times New Roman" w:hAnsi="Times New Roman"/>
                <w:sz w:val="24"/>
                <w:szCs w:val="24"/>
                <w:lang w:eastAsia="uk-UA"/>
              </w:rPr>
              <w:t xml:space="preserve"> варт</w:t>
            </w:r>
            <w:r>
              <w:rPr>
                <w:rFonts w:ascii="Times New Roman" w:eastAsia="Times New Roman" w:hAnsi="Times New Roman"/>
                <w:sz w:val="24"/>
                <w:szCs w:val="24"/>
                <w:lang w:eastAsia="uk-UA"/>
              </w:rPr>
              <w:t>і</w:t>
            </w:r>
            <w:r w:rsidRPr="004B55A6">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ь </w:t>
            </w:r>
            <w:r w:rsidRPr="00B50F1D">
              <w:rPr>
                <w:rFonts w:ascii="Times New Roman" w:eastAsia="Times New Roman" w:hAnsi="Times New Roman"/>
                <w:sz w:val="24"/>
                <w:szCs w:val="24"/>
                <w:lang w:eastAsia="uk-UA"/>
              </w:rPr>
              <w:t xml:space="preserve">предмета закупівлі </w:t>
            </w:r>
            <w:r>
              <w:rPr>
                <w:rFonts w:ascii="Times New Roman" w:eastAsia="Times New Roman" w:hAnsi="Times New Roman"/>
                <w:sz w:val="24"/>
                <w:szCs w:val="24"/>
                <w:lang w:eastAsia="uk-UA"/>
              </w:rPr>
              <w:t>визнач</w:t>
            </w:r>
            <w:proofErr w:type="spellStart"/>
            <w:r>
              <w:rPr>
                <w:rFonts w:ascii="Times New Roman" w:eastAsia="Times New Roman" w:hAnsi="Times New Roman"/>
                <w:sz w:val="24"/>
                <w:szCs w:val="24"/>
                <w:lang w:val="ru-RU" w:eastAsia="uk-UA"/>
              </w:rPr>
              <w:t>ена</w:t>
            </w:r>
            <w:proofErr w:type="spellEnd"/>
            <w:r w:rsidRPr="004B55A6">
              <w:rPr>
                <w:rFonts w:ascii="Times New Roman" w:eastAsia="Times New Roman" w:hAnsi="Times New Roman"/>
                <w:sz w:val="24"/>
                <w:szCs w:val="24"/>
                <w:lang w:eastAsia="uk-UA"/>
              </w:rPr>
              <w:t xml:space="preserve"> як добуток необхідного обсягу товарів/послу</w:t>
            </w:r>
            <w:r>
              <w:rPr>
                <w:rFonts w:ascii="Times New Roman" w:eastAsia="Times New Roman" w:hAnsi="Times New Roman"/>
                <w:sz w:val="24"/>
                <w:szCs w:val="24"/>
                <w:lang w:eastAsia="uk-UA"/>
              </w:rPr>
              <w:t>г та</w:t>
            </w:r>
            <w:r>
              <w:rPr>
                <w:rFonts w:ascii="Times New Roman" w:eastAsia="Times New Roman" w:hAnsi="Times New Roman"/>
                <w:sz w:val="24"/>
                <w:szCs w:val="24"/>
                <w:lang w:eastAsia="uk-UA"/>
              </w:rPr>
              <w:t xml:space="preserve"> середньої</w:t>
            </w:r>
            <w:r>
              <w:rPr>
                <w:rFonts w:ascii="Times New Roman" w:eastAsia="Times New Roman" w:hAnsi="Times New Roman"/>
                <w:sz w:val="24"/>
                <w:szCs w:val="24"/>
                <w:lang w:eastAsia="uk-UA"/>
              </w:rPr>
              <w:t xml:space="preserve"> ціни (тарифу), </w:t>
            </w:r>
            <w:r>
              <w:rPr>
                <w:rFonts w:ascii="Times New Roman" w:eastAsia="Times New Roman" w:hAnsi="Times New Roman"/>
                <w:sz w:val="24"/>
                <w:szCs w:val="24"/>
                <w:lang w:val="ru-RU" w:eastAsia="uk-UA"/>
              </w:rPr>
              <w:t xml:space="preserve">на ринку </w:t>
            </w:r>
            <w:proofErr w:type="spellStart"/>
            <w:r>
              <w:rPr>
                <w:rFonts w:ascii="Times New Roman" w:eastAsia="Times New Roman" w:hAnsi="Times New Roman"/>
                <w:sz w:val="24"/>
                <w:szCs w:val="24"/>
                <w:lang w:val="ru-RU" w:eastAsia="uk-UA"/>
              </w:rPr>
              <w:t>електричної</w:t>
            </w:r>
            <w:proofErr w:type="spellEnd"/>
            <w:r>
              <w:rPr>
                <w:rFonts w:ascii="Times New Roman" w:eastAsia="Times New Roman" w:hAnsi="Times New Roman"/>
                <w:sz w:val="24"/>
                <w:szCs w:val="24"/>
                <w:lang w:val="ru-RU" w:eastAsia="uk-UA"/>
              </w:rPr>
              <w:t xml:space="preserve"> </w:t>
            </w:r>
            <w:proofErr w:type="spellStart"/>
            <w:r>
              <w:rPr>
                <w:rFonts w:ascii="Times New Roman" w:eastAsia="Times New Roman" w:hAnsi="Times New Roman"/>
                <w:sz w:val="24"/>
                <w:szCs w:val="24"/>
                <w:lang w:val="ru-RU" w:eastAsia="uk-UA"/>
              </w:rPr>
              <w:t>енергії</w:t>
            </w:r>
            <w:proofErr w:type="spellEnd"/>
            <w:r>
              <w:rPr>
                <w:rFonts w:ascii="Times New Roman" w:eastAsia="Times New Roman" w:hAnsi="Times New Roman"/>
                <w:sz w:val="24"/>
                <w:szCs w:val="24"/>
                <w:lang w:val="ru-RU" w:eastAsia="uk-UA"/>
              </w:rPr>
              <w:t>.</w:t>
            </w:r>
            <w:r>
              <w:rPr>
                <w:rFonts w:ascii="Times New Roman" w:eastAsia="Times New Roman" w:hAnsi="Times New Roman"/>
                <w:sz w:val="24"/>
                <w:szCs w:val="24"/>
                <w:lang w:eastAsia="uk-UA"/>
              </w:rPr>
              <w:t>.</w:t>
            </w:r>
          </w:p>
          <w:p w:rsidR="007922B2" w:rsidRDefault="007922B2" w:rsidP="00A401F2">
            <w:pPr>
              <w:ind w:firstLine="485"/>
              <w:jc w:val="both"/>
              <w:rPr>
                <w:rFonts w:ascii="Times New Roman" w:eastAsia="Times New Roman" w:hAnsi="Times New Roman"/>
                <w:b/>
                <w:bCs/>
                <w:sz w:val="24"/>
                <w:szCs w:val="24"/>
                <w:bdr w:val="none" w:sz="0" w:space="0" w:color="auto" w:frame="1"/>
                <w:lang w:eastAsia="uk-UA"/>
              </w:rPr>
            </w:pPr>
            <w:r w:rsidRPr="001B7EE4">
              <w:rPr>
                <w:rFonts w:ascii="Times New Roman" w:eastAsia="Times New Roman" w:hAnsi="Times New Roman"/>
                <w:sz w:val="24"/>
                <w:szCs w:val="24"/>
                <w:bdr w:val="none" w:sz="0" w:space="0" w:color="auto" w:frame="1"/>
                <w:lang w:eastAsia="uk-UA"/>
              </w:rPr>
              <w:t>Прогноз</w:t>
            </w:r>
            <w:r>
              <w:rPr>
                <w:rFonts w:ascii="Times New Roman" w:eastAsia="Times New Roman" w:hAnsi="Times New Roman"/>
                <w:sz w:val="24"/>
                <w:szCs w:val="24"/>
                <w:bdr w:val="none" w:sz="0" w:space="0" w:color="auto" w:frame="1"/>
                <w:lang w:eastAsia="uk-UA"/>
              </w:rPr>
              <w:t>ована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потреба електричної енергії для навчальних корпусів університету становить</w:t>
            </w:r>
            <w:r w:rsidRPr="001B7EE4">
              <w:rPr>
                <w:rFonts w:ascii="Times New Roman" w:eastAsia="Times New Roman" w:hAnsi="Times New Roman"/>
                <w:sz w:val="24"/>
                <w:szCs w:val="24"/>
                <w:bdr w:val="none" w:sz="0" w:space="0" w:color="auto" w:frame="1"/>
                <w:lang w:eastAsia="uk-UA"/>
              </w:rPr>
              <w:t> </w:t>
            </w:r>
            <w:r>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53</w:t>
            </w:r>
            <w:r>
              <w:rPr>
                <w:rFonts w:ascii="Times New Roman" w:eastAsia="Times New Roman" w:hAnsi="Times New Roman"/>
                <w:b/>
                <w:bCs/>
                <w:sz w:val="24"/>
                <w:szCs w:val="24"/>
                <w:bdr w:val="none" w:sz="0" w:space="0" w:color="auto" w:frame="1"/>
                <w:lang w:eastAsia="uk-UA"/>
              </w:rPr>
              <w:t xml:space="preserve"> 000</w:t>
            </w:r>
            <w:r w:rsidRPr="001B7EE4">
              <w:rPr>
                <w:rFonts w:ascii="Times New Roman" w:eastAsia="Times New Roman" w:hAnsi="Times New Roman"/>
                <w:b/>
                <w:bCs/>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кВт/год</w:t>
            </w:r>
            <w:r w:rsidRPr="001B7EE4">
              <w:rPr>
                <w:rFonts w:ascii="Times New Roman" w:eastAsia="Times New Roman" w:hAnsi="Times New Roman"/>
                <w:b/>
                <w:bCs/>
                <w:sz w:val="24"/>
                <w:szCs w:val="24"/>
                <w:bdr w:val="none" w:sz="0" w:space="0" w:color="auto" w:frame="1"/>
                <w:lang w:eastAsia="uk-UA"/>
              </w:rPr>
              <w:t>.</w:t>
            </w:r>
          </w:p>
          <w:p w:rsidR="00B30458" w:rsidRDefault="00B30458" w:rsidP="00A401F2">
            <w:pPr>
              <w:ind w:firstLine="485"/>
              <w:jc w:val="both"/>
              <w:rPr>
                <w:rFonts w:ascii="Times New Roman" w:eastAsia="Times New Roman" w:hAnsi="Times New Roman"/>
                <w:b/>
                <w:bCs/>
                <w:sz w:val="24"/>
                <w:szCs w:val="24"/>
                <w:bdr w:val="none" w:sz="0" w:space="0" w:color="auto" w:frame="1"/>
                <w:lang w:eastAsia="uk-UA"/>
              </w:rPr>
            </w:pPr>
            <w:r>
              <w:rPr>
                <w:rFonts w:ascii="Times New Roman" w:eastAsia="Times New Roman" w:hAnsi="Times New Roman"/>
                <w:b/>
                <w:bCs/>
                <w:sz w:val="24"/>
                <w:szCs w:val="24"/>
                <w:bdr w:val="none" w:sz="0" w:space="0" w:color="auto" w:frame="1"/>
                <w:lang w:eastAsia="uk-UA"/>
              </w:rPr>
              <w:t xml:space="preserve">Ринкова ціна </w:t>
            </w:r>
            <w:r>
              <w:rPr>
                <w:rFonts w:ascii="Times New Roman" w:eastAsia="Times New Roman" w:hAnsi="Times New Roman"/>
                <w:b/>
                <w:bCs/>
                <w:sz w:val="24"/>
                <w:szCs w:val="24"/>
                <w:bdr w:val="none" w:sz="0" w:space="0" w:color="auto" w:frame="1"/>
                <w:lang w:eastAsia="uk-UA"/>
              </w:rPr>
              <w:t>за 1 кВт/год</w:t>
            </w:r>
            <w:r>
              <w:rPr>
                <w:rFonts w:ascii="Times New Roman" w:eastAsia="Times New Roman" w:hAnsi="Times New Roman"/>
                <w:b/>
                <w:bCs/>
                <w:sz w:val="24"/>
                <w:szCs w:val="24"/>
                <w:bdr w:val="none" w:sz="0" w:space="0" w:color="auto" w:frame="1"/>
                <w:lang w:eastAsia="uk-UA"/>
              </w:rPr>
              <w:t xml:space="preserve"> становить 1,9725 грн. з ПДВ</w:t>
            </w:r>
          </w:p>
          <w:p w:rsidR="007922B2" w:rsidRDefault="007922B2" w:rsidP="007922B2">
            <w:pPr>
              <w:ind w:firstLine="485"/>
              <w:jc w:val="both"/>
              <w:rPr>
                <w:rFonts w:ascii="Times New Roman" w:eastAsia="Times New Roman" w:hAnsi="Times New Roman"/>
                <w:b/>
                <w:bCs/>
                <w:sz w:val="24"/>
                <w:szCs w:val="24"/>
                <w:bdr w:val="none" w:sz="0" w:space="0" w:color="auto" w:frame="1"/>
                <w:lang w:eastAsia="uk-UA"/>
              </w:rPr>
            </w:pPr>
            <w:r w:rsidRPr="001B7EE4">
              <w:rPr>
                <w:rFonts w:ascii="Times New Roman" w:eastAsia="Times New Roman" w:hAnsi="Times New Roman"/>
                <w:sz w:val="24"/>
                <w:szCs w:val="24"/>
                <w:bdr w:val="none" w:sz="0" w:space="0" w:color="auto" w:frame="1"/>
                <w:lang w:eastAsia="uk-UA"/>
              </w:rPr>
              <w:t>Прогноз</w:t>
            </w:r>
            <w:r>
              <w:rPr>
                <w:rFonts w:ascii="Times New Roman" w:eastAsia="Times New Roman" w:hAnsi="Times New Roman"/>
                <w:sz w:val="24"/>
                <w:szCs w:val="24"/>
                <w:bdr w:val="none" w:sz="0" w:space="0" w:color="auto" w:frame="1"/>
                <w:lang w:eastAsia="uk-UA"/>
              </w:rPr>
              <w:t>ована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 xml:space="preserve">потреба електричної енергії для </w:t>
            </w:r>
            <w:r>
              <w:rPr>
                <w:rFonts w:ascii="Times New Roman" w:eastAsia="Times New Roman" w:hAnsi="Times New Roman"/>
                <w:sz w:val="24"/>
                <w:szCs w:val="24"/>
                <w:bdr w:val="none" w:sz="0" w:space="0" w:color="auto" w:frame="1"/>
                <w:lang w:eastAsia="uk-UA"/>
              </w:rPr>
              <w:t>гуртожитків</w:t>
            </w:r>
            <w:r>
              <w:rPr>
                <w:rFonts w:ascii="Times New Roman" w:eastAsia="Times New Roman" w:hAnsi="Times New Roman"/>
                <w:sz w:val="24"/>
                <w:szCs w:val="24"/>
                <w:bdr w:val="none" w:sz="0" w:space="0" w:color="auto" w:frame="1"/>
                <w:lang w:eastAsia="uk-UA"/>
              </w:rPr>
              <w:t xml:space="preserve"> університету становить</w:t>
            </w:r>
            <w:r w:rsidRPr="001B7EE4">
              <w:rPr>
                <w:rFonts w:ascii="Times New Roman" w:eastAsia="Times New Roman" w:hAnsi="Times New Roman"/>
                <w:sz w:val="24"/>
                <w:szCs w:val="24"/>
                <w:bdr w:val="none" w:sz="0" w:space="0" w:color="auto" w:frame="1"/>
                <w:lang w:eastAsia="uk-UA"/>
              </w:rPr>
              <w:t> </w:t>
            </w:r>
            <w:r>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56 7</w:t>
            </w:r>
            <w:r>
              <w:rPr>
                <w:rFonts w:ascii="Times New Roman" w:eastAsia="Times New Roman" w:hAnsi="Times New Roman"/>
                <w:b/>
                <w:bCs/>
                <w:sz w:val="24"/>
                <w:szCs w:val="24"/>
                <w:bdr w:val="none" w:sz="0" w:space="0" w:color="auto" w:frame="1"/>
                <w:lang w:eastAsia="uk-UA"/>
              </w:rPr>
              <w:t>00</w:t>
            </w:r>
            <w:r w:rsidRPr="001B7EE4">
              <w:rPr>
                <w:rFonts w:ascii="Times New Roman" w:eastAsia="Times New Roman" w:hAnsi="Times New Roman"/>
                <w:b/>
                <w:bCs/>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кВт/год</w:t>
            </w:r>
            <w:r w:rsidRPr="001B7EE4">
              <w:rPr>
                <w:rFonts w:ascii="Times New Roman" w:eastAsia="Times New Roman" w:hAnsi="Times New Roman"/>
                <w:b/>
                <w:bCs/>
                <w:sz w:val="24"/>
                <w:szCs w:val="24"/>
                <w:bdr w:val="none" w:sz="0" w:space="0" w:color="auto" w:frame="1"/>
                <w:lang w:eastAsia="uk-UA"/>
              </w:rPr>
              <w:t>.</w:t>
            </w:r>
          </w:p>
          <w:p w:rsidR="00B30458" w:rsidRPr="00441E56" w:rsidRDefault="00B30458" w:rsidP="007922B2">
            <w:pPr>
              <w:ind w:firstLine="485"/>
              <w:jc w:val="both"/>
              <w:rPr>
                <w:rFonts w:ascii="Times New Roman" w:eastAsia="Times New Roman" w:hAnsi="Times New Roman"/>
                <w:sz w:val="24"/>
                <w:szCs w:val="24"/>
                <w:bdr w:val="none" w:sz="0" w:space="0" w:color="auto" w:frame="1"/>
                <w:lang w:eastAsia="uk-UA"/>
              </w:rPr>
            </w:pPr>
            <w:r>
              <w:rPr>
                <w:rFonts w:ascii="Times New Roman" w:eastAsia="Times New Roman" w:hAnsi="Times New Roman"/>
                <w:b/>
                <w:bCs/>
                <w:sz w:val="24"/>
                <w:szCs w:val="24"/>
                <w:bdr w:val="none" w:sz="0" w:space="0" w:color="auto" w:frame="1"/>
                <w:lang w:eastAsia="uk-UA"/>
              </w:rPr>
              <w:lastRenderedPageBreak/>
              <w:t>Ціна за 1 кВт/год становить 1.68 грн. з ПДВ</w:t>
            </w:r>
          </w:p>
          <w:p w:rsidR="007922B2" w:rsidRPr="00441E56" w:rsidRDefault="007922B2" w:rsidP="00A401F2">
            <w:pPr>
              <w:ind w:firstLine="485"/>
              <w:jc w:val="both"/>
              <w:rPr>
                <w:rFonts w:ascii="Times New Roman" w:eastAsia="Times New Roman" w:hAnsi="Times New Roman"/>
                <w:sz w:val="24"/>
                <w:szCs w:val="24"/>
                <w:bdr w:val="none" w:sz="0" w:space="0" w:color="auto" w:frame="1"/>
                <w:lang w:eastAsia="uk-UA"/>
              </w:rPr>
            </w:pPr>
          </w:p>
          <w:p w:rsidR="007922B2" w:rsidRDefault="007922B2" w:rsidP="00A401F2">
            <w:pPr>
              <w:shd w:val="clear" w:color="auto" w:fill="FFFFFF"/>
              <w:spacing w:after="120"/>
              <w:ind w:firstLine="170"/>
              <w:jc w:val="both"/>
              <w:rPr>
                <w:rFonts w:ascii="Times New Roman" w:eastAsia="Times New Roman" w:hAnsi="Times New Roman"/>
                <w:color w:val="333333"/>
                <w:sz w:val="24"/>
                <w:szCs w:val="24"/>
                <w:lang w:eastAsia="uk-UA"/>
              </w:rPr>
            </w:pPr>
            <w:r>
              <w:rPr>
                <w:rFonts w:ascii="Times New Roman" w:eastAsia="Times New Roman" w:hAnsi="Times New Roman"/>
                <w:b/>
                <w:bCs/>
                <w:sz w:val="24"/>
                <w:szCs w:val="24"/>
                <w:bdr w:val="none" w:sz="0" w:space="0" w:color="auto" w:frame="1"/>
                <w:lang w:eastAsia="uk-UA"/>
              </w:rPr>
              <w:t xml:space="preserve">Отже, </w:t>
            </w:r>
            <w:r>
              <w:rPr>
                <w:rFonts w:ascii="Times New Roman" w:eastAsia="Times New Roman" w:hAnsi="Times New Roman"/>
                <w:b/>
                <w:bCs/>
                <w:color w:val="333333"/>
                <w:sz w:val="24"/>
                <w:szCs w:val="24"/>
                <w:lang w:eastAsia="uk-UA"/>
              </w:rPr>
              <w:t>очікувана вартість</w:t>
            </w:r>
            <w:r w:rsidRPr="00B50F1D">
              <w:rPr>
                <w:rFonts w:ascii="Times New Roman" w:eastAsia="Times New Roman" w:hAnsi="Times New Roman"/>
                <w:color w:val="333333"/>
                <w:sz w:val="24"/>
                <w:szCs w:val="24"/>
                <w:lang w:eastAsia="uk-UA"/>
              </w:rPr>
              <w:t xml:space="preserve"> </w:t>
            </w:r>
            <w:r>
              <w:rPr>
                <w:rFonts w:ascii="Times New Roman" w:eastAsia="Times New Roman" w:hAnsi="Times New Roman"/>
                <w:color w:val="333333"/>
                <w:sz w:val="24"/>
                <w:szCs w:val="24"/>
                <w:lang w:eastAsia="uk-UA"/>
              </w:rPr>
              <w:t xml:space="preserve">= </w:t>
            </w:r>
            <w:r w:rsidR="00B30458">
              <w:rPr>
                <w:rFonts w:ascii="Times New Roman" w:eastAsia="Times New Roman" w:hAnsi="Times New Roman"/>
                <w:color w:val="333333"/>
                <w:sz w:val="24"/>
                <w:szCs w:val="24"/>
                <w:lang w:eastAsia="uk-UA"/>
              </w:rPr>
              <w:t>53 000 кВт./год. * 1.9725</w:t>
            </w:r>
            <w:r>
              <w:rPr>
                <w:rFonts w:ascii="Times New Roman" w:eastAsia="Times New Roman" w:hAnsi="Times New Roman"/>
                <w:color w:val="333333"/>
                <w:sz w:val="24"/>
                <w:szCs w:val="24"/>
                <w:lang w:eastAsia="uk-UA"/>
              </w:rPr>
              <w:t xml:space="preserve"> грн.</w:t>
            </w:r>
            <w:r w:rsidR="00B30458">
              <w:rPr>
                <w:rFonts w:ascii="Times New Roman" w:eastAsia="Times New Roman" w:hAnsi="Times New Roman"/>
                <w:color w:val="333333"/>
                <w:sz w:val="24"/>
                <w:szCs w:val="24"/>
                <w:lang w:eastAsia="uk-UA"/>
              </w:rPr>
              <w:t xml:space="preserve"> + 56 700 кВт/год * 1,68 грн.</w:t>
            </w:r>
            <w:bookmarkStart w:id="0" w:name="_GoBack"/>
            <w:bookmarkEnd w:id="0"/>
          </w:p>
          <w:p w:rsidR="007922B2" w:rsidRPr="00B50F1D" w:rsidRDefault="007922B2" w:rsidP="007922B2">
            <w:pPr>
              <w:shd w:val="clear" w:color="auto" w:fill="FFFFFF"/>
              <w:spacing w:after="120"/>
              <w:ind w:firstLine="170"/>
              <w:jc w:val="both"/>
              <w:rPr>
                <w:rFonts w:ascii="Times New Roman" w:eastAsia="Times New Roman" w:hAnsi="Times New Roman"/>
                <w:color w:val="333333"/>
                <w:sz w:val="24"/>
                <w:szCs w:val="24"/>
                <w:lang w:eastAsia="uk-UA"/>
              </w:rPr>
            </w:pPr>
            <w:r w:rsidRPr="001B7EE4">
              <w:rPr>
                <w:rFonts w:ascii="Times New Roman" w:eastAsia="Times New Roman" w:hAnsi="Times New Roman"/>
                <w:b/>
                <w:bCs/>
                <w:color w:val="333333"/>
                <w:sz w:val="24"/>
                <w:szCs w:val="24"/>
                <w:lang w:eastAsia="uk-UA"/>
              </w:rPr>
              <w:t>О</w:t>
            </w:r>
            <w:r>
              <w:rPr>
                <w:rFonts w:ascii="Times New Roman" w:eastAsia="Times New Roman" w:hAnsi="Times New Roman"/>
                <w:b/>
                <w:bCs/>
                <w:color w:val="333333"/>
                <w:sz w:val="24"/>
                <w:szCs w:val="24"/>
                <w:lang w:eastAsia="uk-UA"/>
              </w:rPr>
              <w:t>чікувана вартість</w:t>
            </w:r>
            <w:r>
              <w:rPr>
                <w:rFonts w:ascii="Times New Roman" w:eastAsia="Times New Roman" w:hAnsi="Times New Roman"/>
                <w:b/>
                <w:bCs/>
                <w:color w:val="333333"/>
                <w:sz w:val="16"/>
                <w:szCs w:val="16"/>
                <w:vertAlign w:val="subscript"/>
                <w:lang w:eastAsia="uk-UA"/>
              </w:rPr>
              <w:t xml:space="preserve"> </w:t>
            </w:r>
            <w:r w:rsidRPr="00195205">
              <w:rPr>
                <w:rFonts w:ascii="Times New Roman" w:eastAsia="Times New Roman" w:hAnsi="Times New Roman"/>
                <w:b/>
                <w:bCs/>
                <w:color w:val="333333"/>
                <w:sz w:val="24"/>
                <w:szCs w:val="16"/>
                <w:lang w:eastAsia="uk-UA"/>
              </w:rPr>
              <w:t xml:space="preserve">= </w:t>
            </w:r>
            <w:r>
              <w:rPr>
                <w:rFonts w:ascii="Times New Roman" w:eastAsia="Times New Roman" w:hAnsi="Times New Roman"/>
                <w:b/>
                <w:bCs/>
                <w:color w:val="333333"/>
                <w:sz w:val="24"/>
                <w:szCs w:val="16"/>
                <w:lang w:eastAsia="uk-UA"/>
              </w:rPr>
              <w:t>199 8</w:t>
            </w:r>
            <w:r w:rsidRPr="00387855">
              <w:rPr>
                <w:rFonts w:ascii="Times New Roman" w:eastAsia="Times New Roman" w:hAnsi="Times New Roman"/>
                <w:b/>
                <w:bCs/>
                <w:color w:val="333333"/>
                <w:sz w:val="24"/>
                <w:szCs w:val="16"/>
                <w:lang w:eastAsia="uk-UA"/>
              </w:rPr>
              <w:t>00</w:t>
            </w:r>
            <w:r>
              <w:rPr>
                <w:rFonts w:ascii="Times New Roman" w:eastAsia="Times New Roman" w:hAnsi="Times New Roman"/>
                <w:b/>
                <w:bCs/>
                <w:color w:val="333333"/>
                <w:sz w:val="24"/>
                <w:szCs w:val="16"/>
                <w:lang w:eastAsia="uk-UA"/>
              </w:rPr>
              <w:t>,00</w:t>
            </w:r>
            <w:r w:rsidRPr="00387855">
              <w:rPr>
                <w:rFonts w:ascii="Times New Roman" w:eastAsia="Times New Roman" w:hAnsi="Times New Roman"/>
                <w:b/>
                <w:bCs/>
                <w:color w:val="333333"/>
                <w:sz w:val="24"/>
                <w:szCs w:val="16"/>
                <w:lang w:eastAsia="uk-UA"/>
              </w:rPr>
              <w:t xml:space="preserve"> грн.</w:t>
            </w:r>
            <w:r>
              <w:rPr>
                <w:rFonts w:ascii="Times New Roman" w:eastAsia="Times New Roman" w:hAnsi="Times New Roman"/>
                <w:b/>
                <w:bCs/>
                <w:color w:val="333333"/>
                <w:sz w:val="24"/>
                <w:szCs w:val="16"/>
                <w:lang w:eastAsia="uk-UA"/>
              </w:rPr>
              <w:t xml:space="preserve"> з ПДВ</w:t>
            </w:r>
          </w:p>
        </w:tc>
      </w:tr>
    </w:tbl>
    <w:p w:rsidR="007922B2" w:rsidRDefault="007922B2" w:rsidP="007922B2"/>
    <w:p w:rsidR="007922B2" w:rsidRDefault="007922B2" w:rsidP="007922B2"/>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D"/>
    <w:rsid w:val="0030027D"/>
    <w:rsid w:val="007922B2"/>
    <w:rsid w:val="00B30458"/>
    <w:rsid w:val="00E03F72"/>
    <w:rsid w:val="00E0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47267">
      <w:bodyDiv w:val="1"/>
      <w:marLeft w:val="0"/>
      <w:marRight w:val="0"/>
      <w:marTop w:val="0"/>
      <w:marBottom w:val="0"/>
      <w:divBdr>
        <w:top w:val="none" w:sz="0" w:space="0" w:color="auto"/>
        <w:left w:val="none" w:sz="0" w:space="0" w:color="auto"/>
        <w:bottom w:val="none" w:sz="0" w:space="0" w:color="auto"/>
        <w:right w:val="none" w:sz="0" w:space="0" w:color="auto"/>
      </w:divBdr>
    </w:div>
    <w:div w:id="11987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1774</Words>
  <Characters>1012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2021-05-07T10:37:00Z</dcterms:created>
  <dcterms:modified xsi:type="dcterms:W3CDTF">2021-05-07T10:52:00Z</dcterms:modified>
</cp:coreProperties>
</file>