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B042F7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042F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 Постачання теплової енергії ДК 021:2015: 09320000-8 — Пара, гаряча вода та пов’язана продукція за лотом №1 для навчальних корпусів. Постачання теплової енергії ДК 021:2015: 09320000-8 — Пара, гаряча вода та пов’язана продукція за лотом №2 для гуртожитків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2B799C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DF7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UA-2021-01-29-003923-a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5068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B042F7" w:rsidRP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767 810,35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0F1D" w:rsidRDefault="005C2720" w:rsidP="0050686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385 658.17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462 789,80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лоту №1 та </w:t>
            </w:r>
            <w:r w:rsidRPr="005C2720">
              <w:rPr>
                <w:rFonts w:ascii="Times New Roman" w:hAnsi="Times New Roman"/>
                <w:b/>
                <w:sz w:val="24"/>
                <w:szCs w:val="24"/>
              </w:rPr>
              <w:t>254 183.79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305 020, 55 грн. з ПДВ </w:t>
            </w:r>
            <w:r w:rsidRPr="005C272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>для лоту №2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DF72C2" w:rsidRPr="008651BC" w:rsidRDefault="00DF72C2" w:rsidP="00506865">
            <w:pPr>
              <w:pStyle w:val="a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постачання теплової енергії”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232 від 15.09.2020 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DF72C2" w:rsidRPr="009E3727" w:rsidRDefault="00DF72C2" w:rsidP="00506865">
            <w:pPr>
              <w:pStyle w:val="a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а) на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централізоване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 Встановити Комунальному підприємству «</w:t>
            </w:r>
            <w:proofErr w:type="spellStart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2.2.1.Тариф на послугу з постачання теплової енергії, що надається населенню, на рівні 2103,59 грн/</w:t>
            </w:r>
            <w:proofErr w:type="spellStart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Гкал</w:t>
            </w:r>
            <w:proofErr w:type="spellEnd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(з податком на додану вартість);</w:t>
            </w:r>
          </w:p>
          <w:p w:rsidR="005C2720" w:rsidRPr="005C2720" w:rsidRDefault="005C2720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DF72C2" w:rsidRDefault="00DF72C2" w:rsidP="008651B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теплопостачання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:rsidR="00DF72C2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220</w:t>
            </w:r>
            <w:r w:rsidR="00DF72C2"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для лоту №1</w:t>
            </w:r>
          </w:p>
          <w:p w:rsidR="008651BC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145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для лоту №2</w:t>
            </w:r>
          </w:p>
          <w:p w:rsidR="008651BC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8651BC" w:rsidRDefault="008651BC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Лот 1:</w:t>
            </w:r>
          </w:p>
          <w:p w:rsidR="00DF72C2" w:rsidRDefault="00DF72C2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 22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0 </w:t>
            </w:r>
            <w:proofErr w:type="spellStart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*</w:t>
            </w:r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2103,59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DF72C2" w:rsidRDefault="008651BC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DF72C2" w:rsidRPr="008651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=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462 789,80</w:t>
            </w:r>
            <w:r w:rsidR="00DF72C2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  <w:p w:rsidR="008651BC" w:rsidRDefault="008651BC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</w:p>
          <w:p w:rsidR="008651BC" w:rsidRDefault="008651BC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Лот 2</w:t>
            </w:r>
          </w:p>
          <w:p w:rsidR="008651BC" w:rsidRDefault="008651BC" w:rsidP="008651B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145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* 2103,59 грн.</w:t>
            </w:r>
          </w:p>
          <w:p w:rsidR="008651BC" w:rsidRDefault="008651BC" w:rsidP="008651B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Pr="008651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305 020,55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  <w:p w:rsidR="008651BC" w:rsidRPr="00B50F1D" w:rsidRDefault="00B042F7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Таким чином загальна очікувана вартість закупівлі становить </w:t>
            </w:r>
            <w:bookmarkStart w:id="0" w:name="_GoBack"/>
            <w:r w:rsidRPr="00B042F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uk-UA"/>
              </w:rPr>
              <w:t>767 810,35 грн.</w:t>
            </w:r>
            <w:bookmarkEnd w:id="0"/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5C2720"/>
    <w:rsid w:val="008651BC"/>
    <w:rsid w:val="00B042F7"/>
    <w:rsid w:val="00DF72C2"/>
    <w:rsid w:val="00E03F72"/>
    <w:rsid w:val="00E040E3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2021-02-09T08:31:00Z</dcterms:created>
  <dcterms:modified xsi:type="dcterms:W3CDTF">2021-03-05T07:56:00Z</dcterms:modified>
</cp:coreProperties>
</file>