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A0" w:rsidRPr="00204038" w:rsidRDefault="00EF77A0" w:rsidP="00EF77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F77A0" w:rsidRPr="00204038" w:rsidRDefault="00EF77A0" w:rsidP="00EF77A0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8D5743" w:rsidRDefault="00506DB3" w:rsidP="00B72C3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506DB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«Вікна та двері металопластикові, двері металеві» Код ДК 021:2015 – 44220000-8 Столярні вироби</w:t>
            </w:r>
            <w:bookmarkStart w:id="0" w:name="_GoBack"/>
            <w:bookmarkEnd w:id="0"/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EF77A0" w:rsidRPr="00D6014A" w:rsidRDefault="00EF77A0" w:rsidP="00B72C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  <w:r w:rsidR="00506DB3">
              <w:rPr>
                <w:rFonts w:ascii="Times New Roman" w:hAnsi="Times New Roman"/>
                <w:sz w:val="24"/>
                <w:szCs w:val="24"/>
              </w:rPr>
              <w:t xml:space="preserve"> з особливостями</w:t>
            </w:r>
          </w:p>
          <w:p w:rsidR="00EF77A0" w:rsidRPr="00A93408" w:rsidRDefault="00EF77A0" w:rsidP="00B72C3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09307F" w:rsidRDefault="00506DB3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UA-2023-05-03-004570-a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31063D" w:rsidRPr="0031063D" w:rsidRDefault="0031063D" w:rsidP="003106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63D">
              <w:rPr>
                <w:rFonts w:ascii="Times New Roman" w:hAnsi="Times New Roman"/>
                <w:sz w:val="24"/>
                <w:szCs w:val="24"/>
                <w:lang w:eastAsia="ru-RU"/>
              </w:rPr>
              <w:t>Технічні характеристики мають відповідати технічним вимогам товару або бути кращими.</w:t>
            </w:r>
          </w:p>
          <w:p w:rsidR="0031063D" w:rsidRPr="0031063D" w:rsidRDefault="0031063D" w:rsidP="003106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6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Металопластикові вікна: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 Профіль: ПВХ 6-ти камерний, монтажна глибина не менше 70 мм, товщина зовнішньої стінки – не менше 2,5 мм, колір білий.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2. Склопакет: 2-камерний, енергозберігаючий  - 32 мм, формула: 4і-12ar-4-8ar-4і.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3. Фурнітура: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поворотно-</w:t>
            </w:r>
            <w:proofErr w:type="spellEnd"/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відкидна, ручка віконна біла.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4. Армування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профіля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ПВХ: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п-подібне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не менше 1,2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5. Приведений опір теплопередачі: не менше 0,90 м2 К/Вт.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800 мм х висота 2070 мм – 1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1280 мм х висота 1440 мм – 2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1480 мм х висота 1440 мм – 1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1450 мм х висота 1440 мм – 34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2040 мм х висота 1440 мм – 9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860 мм х висота 1120 мм – 15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860 мм х висота 540 мм – 19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Металопластикові вікна: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 Профіль: ПВХ 5-ти камерний, монтажна глибина не менше 60 мм, товщина зовнішньої стінки – не менше 2,5 мм, колір білий.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2. Склопакет: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моноскло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4мм.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3. Фурнітура: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штульп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, ручка віконна біла.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4. Армування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профіля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ПВХ: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п-подібне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не менше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1,2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вікна</w:t>
            </w:r>
            <w:r w:rsidRPr="00506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- ширина 960 мм х висота 1360 мм – 1 шт. 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відкривні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2 стулки).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06DB3">
              <w:rPr>
                <w:rFonts w:ascii="Times New Roman" w:hAnsi="Times New Roman"/>
                <w:b/>
                <w:bCs/>
                <w:sz w:val="24"/>
                <w:szCs w:val="24"/>
              </w:rPr>
              <w:t>Металопластикова</w:t>
            </w:r>
            <w:proofErr w:type="spellEnd"/>
            <w:r w:rsidRPr="00506D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конструкція, яка </w:t>
            </w:r>
            <w:proofErr w:type="spellStart"/>
            <w:r w:rsidRPr="00506DB3">
              <w:rPr>
                <w:rFonts w:ascii="Times New Roman" w:hAnsi="Times New Roman"/>
                <w:b/>
                <w:bCs/>
                <w:sz w:val="24"/>
                <w:szCs w:val="24"/>
              </w:rPr>
              <w:t>зєднюється</w:t>
            </w:r>
            <w:proofErr w:type="spellEnd"/>
            <w:r w:rsidRPr="00506D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між собою, складається: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Металопластикові вхідні двері: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1.Профіль ПВХ дверний, монтажна глибина не менше 60 мм, ширина стулки не менше 92 мм, товщина зовнішньої стінки –2,5 мм., колір білий.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2. Склопакет 24 мм (4-16ar-4і)/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сендвіч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панель 24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3. Фурнітура: замок роликовий, серцевина к/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, ручка офісна 500.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4. Товщина армування дверного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профіля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: квадратне не менше 1,5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5. Додатково: алюмінієвий поріг,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дотягувач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вхідні двері - ширина 800 мм х висота 2490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Металопластикова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конструкція: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1.Профіль ПВХ, монтажна глибина не менше 60 мм., товщина зовнішньої стінки –2,5 мм., колір білий.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2. Склопакет 24 мм (4-16ar-4і)/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сендвіч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панель 24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3. Товщина армування 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профіля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: квадратне не менше 1,5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конструкція – ширина 2750мм х висота 2490мм – 1 шт.(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відкривна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створка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600шир. х 500 вис.)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конструкція – ширина 1160мм х висота 2490мм – 1 шт. 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конструкція – ширина 1700мм х висота 2490мм – 1 шт.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конструкція – ширина 1500мм х висота 2490мм – 1 шт.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Металопластикові вхідні двері: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1.Профіль ПВХ дверний, монтажна глибина не менше 60 мм, ширина стулки не менше 92 мм, товщина зовнішньої стінки –2,5 мм., колір білий.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Сендвіч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панель 24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3. Фурнітура: замок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одноточковий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нажимний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, серцевина к/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4. Товщина армування дверного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профіля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: квадратне не менше 1,5 мм.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5. Додатково: алюмінієвий поріг.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вхідні двері - ширина 850 мм х висота 2020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Металопластикові вхідні двері - ширина 850 мм х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висота 2060 мм – 1 шт.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Металопластикові вхідні двері - ширина 870 мм х висота 2050 мм – 1 шт.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Металеві вхідні двері: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 Рама – профільна труба 80*40 товщиною 1,8 - 2 мм., виконання з лиштвою приварною 70 мм, заповнена мін ватою;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2. Полотно - профільна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створка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40*20 з листа 2 мм., задній лист 2 мм.;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3. Замок протипожежний (циліндр к/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 ручки стальні з покриттям із термостійкого пластика.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4. Фарбування епоксидно-поліефірною порошковою фарбою сірого кольору.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Металеві вхідні двері - ширина 920 мм х висота 2050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Металеві вхідні двері - ширина 1270 мм х висота 1950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Металеві вхідні двері - ширина 1300 мм х висота 2100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Металеві вхідні двері - ширина 870 мм х висота 1750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Металеві двері (люк):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 Рама – профільна труба 60*40 товщиною 1,5 мм., виконання з лиштвою приварною 70 мм, заповнена мін ватою;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2. Полотно - профільна 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створка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 40*20 з листа 1,5 мм., задній лист 1,5 мм.;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3. Замок (циліндр к/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 ручка на планці.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4. Фарбування епоксидно-поліефірною порошковою фарбою сірого кольору.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Металеві двері - ширина 1000 мм х висота 1160 мм – 2шт.,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Металеві вхідні двері протипожежні: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1. Рама – гнутий профіль з листа 2мм. виконання з лиштвою, шириною 80-85 мм. заповнена мін ватою.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2. Полотно суцільно гнуте з листа 2 мм., задній лист 2 мм., товщина полотна – 45мм., внутрішнє заповнення – теплоізоляційний вогнестійкий наповнювач (базальтова вата).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3. Ущільнювач вогнетривкий і60 (ущільнювач від гарячого диму (термостійкий ущільнювач) та гумовий від холодного диму.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4. Замок протипожежний (циліндр к/</w:t>
            </w:r>
            <w:proofErr w:type="spellStart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End"/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), ручки стальні з покриттям із термостійкого пластика.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5. Фарбування епоксидно-поліефірною порошковою фарбою сірого кольору.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6. Клас вогнестійкості: ЕІ60.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 xml:space="preserve">Металеві вхідні двері протипожежні - ширина 860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мм х висота 2050 мм – 1 шт.</w:t>
            </w: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Відлив металічний із заглушками, колір білий: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ширина 210 мм х довжина 800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ширина 210 мм х довжина 1280 мм – 2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ширина 210 мм х довжина 1480 мм – 1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ширина 210 мм х довжина 1450 мм – 34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ширина 210 мм х довжина 2040 мм – 9 шт.,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ширина 210 мм х довжина 860 мм – 34 шт.</w:t>
            </w: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06DB3" w:rsidRPr="00506DB3" w:rsidRDefault="00506DB3" w:rsidP="00506DB3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6D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Місце поставки Товару: </w:t>
            </w:r>
            <w:r w:rsidRPr="00506DB3">
              <w:rPr>
                <w:rFonts w:ascii="Times New Roman" w:hAnsi="Times New Roman"/>
                <w:bCs/>
                <w:sz w:val="24"/>
                <w:szCs w:val="24"/>
              </w:rPr>
              <w:t>82100, Львівська обл.. м. Дрогобич, вул. Володимира Великого 5</w:t>
            </w:r>
          </w:p>
          <w:p w:rsidR="00EF77A0" w:rsidRPr="008D5743" w:rsidRDefault="00EF77A0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</w:pP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EF77A0" w:rsidRDefault="00EF77A0" w:rsidP="00B72C3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1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EF77A0" w:rsidRPr="00E31A28" w:rsidRDefault="0031063D" w:rsidP="00506DB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506DB3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1 060 582, 35</w:t>
            </w:r>
            <w:r w:rsidR="00EF77A0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F77A0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B50F1D" w:rsidRDefault="00506DB3" w:rsidP="00B72C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1 060 582, 35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F77A0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proofErr w:type="spellEnd"/>
            <w:r w:rsidR="00EF77A0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EF77A0" w:rsidRDefault="00EF77A0" w:rsidP="00EF77A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сформована відповідно до комерційних пропозицій, отриманих від виробників та офіційних представників виробників зазначеної продукції</w:t>
            </w:r>
          </w:p>
          <w:p w:rsidR="00EF77A0" w:rsidRPr="00EF77A0" w:rsidRDefault="00EF77A0" w:rsidP="00B72C3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EF77A0" w:rsidRDefault="00EF77A0" w:rsidP="00EF77A0"/>
    <w:p w:rsidR="00EF77A0" w:rsidRPr="0002035B" w:rsidRDefault="00EF77A0" w:rsidP="00EF77A0"/>
    <w:p w:rsidR="00EF77A0" w:rsidRDefault="00EF77A0" w:rsidP="00EF77A0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6E5"/>
    <w:multiLevelType w:val="multilevel"/>
    <w:tmpl w:val="B3A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C4EF3"/>
    <w:multiLevelType w:val="multilevel"/>
    <w:tmpl w:val="02C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83E21"/>
    <w:multiLevelType w:val="multilevel"/>
    <w:tmpl w:val="79E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4947"/>
    <w:multiLevelType w:val="multilevel"/>
    <w:tmpl w:val="EE86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338C4"/>
    <w:multiLevelType w:val="multilevel"/>
    <w:tmpl w:val="CE2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271E9"/>
    <w:multiLevelType w:val="multilevel"/>
    <w:tmpl w:val="9B9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615EF"/>
    <w:multiLevelType w:val="multilevel"/>
    <w:tmpl w:val="45D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D4BBA"/>
    <w:multiLevelType w:val="multilevel"/>
    <w:tmpl w:val="C25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41B9"/>
    <w:multiLevelType w:val="multilevel"/>
    <w:tmpl w:val="1E5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45EC0"/>
    <w:multiLevelType w:val="multilevel"/>
    <w:tmpl w:val="66B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F6F9F"/>
    <w:multiLevelType w:val="multilevel"/>
    <w:tmpl w:val="053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1FF1"/>
    <w:multiLevelType w:val="multilevel"/>
    <w:tmpl w:val="3DA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80598"/>
    <w:multiLevelType w:val="hybridMultilevel"/>
    <w:tmpl w:val="9490E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D2C5C"/>
    <w:multiLevelType w:val="multilevel"/>
    <w:tmpl w:val="001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14F5A"/>
    <w:multiLevelType w:val="multilevel"/>
    <w:tmpl w:val="F21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12FFF"/>
    <w:multiLevelType w:val="multilevel"/>
    <w:tmpl w:val="EB8C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D6AE7"/>
    <w:multiLevelType w:val="multilevel"/>
    <w:tmpl w:val="FA6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759E7"/>
    <w:multiLevelType w:val="multilevel"/>
    <w:tmpl w:val="8DB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4754D"/>
    <w:multiLevelType w:val="multilevel"/>
    <w:tmpl w:val="CE9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41105"/>
    <w:multiLevelType w:val="multilevel"/>
    <w:tmpl w:val="54F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528EC"/>
    <w:multiLevelType w:val="multilevel"/>
    <w:tmpl w:val="1CB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2391D"/>
    <w:multiLevelType w:val="multilevel"/>
    <w:tmpl w:val="B63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04D2F"/>
    <w:multiLevelType w:val="multilevel"/>
    <w:tmpl w:val="74A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F1EDB"/>
    <w:multiLevelType w:val="multilevel"/>
    <w:tmpl w:val="BB4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F01D5"/>
    <w:multiLevelType w:val="multilevel"/>
    <w:tmpl w:val="FEC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C66C57"/>
    <w:multiLevelType w:val="multilevel"/>
    <w:tmpl w:val="079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1B1E74"/>
    <w:multiLevelType w:val="multilevel"/>
    <w:tmpl w:val="EFA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F12F3"/>
    <w:multiLevelType w:val="multilevel"/>
    <w:tmpl w:val="6D3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23"/>
  </w:num>
  <w:num w:numId="5">
    <w:abstractNumId w:val="7"/>
  </w:num>
  <w:num w:numId="6">
    <w:abstractNumId w:val="17"/>
  </w:num>
  <w:num w:numId="7">
    <w:abstractNumId w:val="10"/>
  </w:num>
  <w:num w:numId="8">
    <w:abstractNumId w:val="1"/>
  </w:num>
  <w:num w:numId="9">
    <w:abstractNumId w:val="20"/>
  </w:num>
  <w:num w:numId="10">
    <w:abstractNumId w:val="9"/>
  </w:num>
  <w:num w:numId="11">
    <w:abstractNumId w:val="3"/>
  </w:num>
  <w:num w:numId="12">
    <w:abstractNumId w:val="8"/>
  </w:num>
  <w:num w:numId="13">
    <w:abstractNumId w:val="24"/>
  </w:num>
  <w:num w:numId="14">
    <w:abstractNumId w:val="14"/>
  </w:num>
  <w:num w:numId="15">
    <w:abstractNumId w:val="16"/>
  </w:num>
  <w:num w:numId="16">
    <w:abstractNumId w:val="2"/>
  </w:num>
  <w:num w:numId="17">
    <w:abstractNumId w:val="27"/>
  </w:num>
  <w:num w:numId="18">
    <w:abstractNumId w:val="11"/>
  </w:num>
  <w:num w:numId="19">
    <w:abstractNumId w:val="26"/>
  </w:num>
  <w:num w:numId="20">
    <w:abstractNumId w:val="4"/>
  </w:num>
  <w:num w:numId="21">
    <w:abstractNumId w:val="21"/>
  </w:num>
  <w:num w:numId="22">
    <w:abstractNumId w:val="18"/>
  </w:num>
  <w:num w:numId="23">
    <w:abstractNumId w:val="0"/>
  </w:num>
  <w:num w:numId="24">
    <w:abstractNumId w:val="19"/>
  </w:num>
  <w:num w:numId="25">
    <w:abstractNumId w:val="22"/>
  </w:num>
  <w:num w:numId="26">
    <w:abstractNumId w:val="25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E7"/>
    <w:rsid w:val="0031063D"/>
    <w:rsid w:val="003C03E7"/>
    <w:rsid w:val="00506DB3"/>
    <w:rsid w:val="00E03F72"/>
    <w:rsid w:val="00E040E3"/>
    <w:rsid w:val="00E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0E3"/>
    <w:rPr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EF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EF7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0E3"/>
    <w:rPr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EF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EF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4050</Words>
  <Characters>2309</Characters>
  <Application>Microsoft Office Word</Application>
  <DocSecurity>0</DocSecurity>
  <Lines>19</Lines>
  <Paragraphs>12</Paragraphs>
  <ScaleCrop>false</ScaleCrop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2021-11-15T08:45:00Z</dcterms:created>
  <dcterms:modified xsi:type="dcterms:W3CDTF">2023-05-18T08:20:00Z</dcterms:modified>
</cp:coreProperties>
</file>